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B6FD13" w14:textId="3D17803E" w:rsidR="004A3AA5" w:rsidRDefault="004A3AA5" w:rsidP="006737F4">
      <w:pPr>
        <w:jc w:val="both"/>
        <w:rPr>
          <w:b/>
        </w:rPr>
      </w:pPr>
      <w:r w:rsidRPr="0062633A">
        <w:rPr>
          <w:rFonts w:eastAsia="Arial Unicode MS"/>
          <w:b/>
          <w:noProof/>
          <w:sz w:val="28"/>
          <w:szCs w:val="28"/>
          <w:lang w:eastAsia="pl-PL"/>
        </w:rPr>
        <w:drawing>
          <wp:inline distT="0" distB="0" distL="0" distR="0" wp14:anchorId="499FA928" wp14:editId="505AD53B">
            <wp:extent cx="5760720" cy="986790"/>
            <wp:effectExtent l="0" t="0" r="0" b="0"/>
            <wp:docPr id="1" name="Obraz 1" descr="Nagłówek zawierający cztery barwne logotypy, umieszczone kolejno w jednej linii od lewej do prawej: programu Pomoc techniczna, Rzeczpospolitej Polskiej, Województwa Podkarpackiego i Funduszu Spójności Unii Europejskie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986790"/>
                    </a:xfrm>
                    <a:prstGeom prst="rect">
                      <a:avLst/>
                    </a:prstGeom>
                    <a:noFill/>
                    <a:ln>
                      <a:noFill/>
                    </a:ln>
                  </pic:spPr>
                </pic:pic>
              </a:graphicData>
            </a:graphic>
          </wp:inline>
        </w:drawing>
      </w:r>
    </w:p>
    <w:p w14:paraId="76F30BCC" w14:textId="4F45C86D" w:rsidR="0091044E" w:rsidRDefault="0091044E" w:rsidP="00A02010">
      <w:pPr>
        <w:spacing w:line="312" w:lineRule="auto"/>
        <w:jc w:val="both"/>
        <w:rPr>
          <w:b/>
        </w:rPr>
      </w:pPr>
      <w:r w:rsidRPr="0091044E">
        <w:rPr>
          <w:b/>
        </w:rPr>
        <w:t>Znaczenie delimitacji obszarów zdegradowanych i obszarów rewitalizacji jako kluczowego elementu procesu rewitalizacji</w:t>
      </w:r>
    </w:p>
    <w:p w14:paraId="1BBC3122" w14:textId="309D012B" w:rsidR="00D8723F" w:rsidRPr="00CC4D2C" w:rsidRDefault="00D8723F" w:rsidP="00D8723F">
      <w:pPr>
        <w:spacing w:line="312" w:lineRule="auto"/>
        <w:jc w:val="both"/>
        <w:rPr>
          <w:bCs/>
        </w:rPr>
      </w:pPr>
      <w:r>
        <w:rPr>
          <w:bCs/>
        </w:rPr>
        <w:t xml:space="preserve">Wejście w życie </w:t>
      </w:r>
      <w:r w:rsidRPr="00E049F9">
        <w:rPr>
          <w:bCs/>
          <w:i/>
        </w:rPr>
        <w:t>ustawy z dnia 9 października 2015 r. o rewitalizacji</w:t>
      </w:r>
      <w:r>
        <w:rPr>
          <w:bCs/>
        </w:rPr>
        <w:t xml:space="preserve"> (ustawa o rewitalizacji)</w:t>
      </w:r>
      <w:r>
        <w:rPr>
          <w:rStyle w:val="Odwoanieprzypisudolnego"/>
          <w:bCs/>
        </w:rPr>
        <w:footnoteReference w:id="1"/>
      </w:r>
      <w:r>
        <w:rPr>
          <w:bCs/>
        </w:rPr>
        <w:t xml:space="preserve"> </w:t>
      </w:r>
      <w:r w:rsidR="00A94573">
        <w:rPr>
          <w:bCs/>
        </w:rPr>
        <w:t>i </w:t>
      </w:r>
      <w:r w:rsidRPr="00E049F9">
        <w:rPr>
          <w:bCs/>
          <w:i/>
        </w:rPr>
        <w:t>Wytycznych w zakresie rewitalizacji w programach operacyjnych na lata 2014-2020</w:t>
      </w:r>
      <w:r w:rsidRPr="00C20FBC">
        <w:rPr>
          <w:bCs/>
        </w:rPr>
        <w:t xml:space="preserve"> </w:t>
      </w:r>
      <w:r>
        <w:rPr>
          <w:bCs/>
        </w:rPr>
        <w:t xml:space="preserve">(Wytyczne) uporządkowało oraz wprowadziło istotne zmiany podejścia do programowania procesu rewitalizacji. </w:t>
      </w:r>
      <w:r w:rsidR="000A1730">
        <w:rPr>
          <w:bCs/>
        </w:rPr>
        <w:t>Obszary zdegradowane</w:t>
      </w:r>
      <w:r w:rsidR="009F6450">
        <w:rPr>
          <w:bCs/>
        </w:rPr>
        <w:t>,</w:t>
      </w:r>
      <w:r w:rsidR="000A1730">
        <w:rPr>
          <w:bCs/>
        </w:rPr>
        <w:t xml:space="preserve"> wyznaczane wcześniej</w:t>
      </w:r>
      <w:r w:rsidR="000A1730" w:rsidRPr="000A1730">
        <w:rPr>
          <w:bCs/>
        </w:rPr>
        <w:t xml:space="preserve"> </w:t>
      </w:r>
      <w:r w:rsidR="000A1730">
        <w:rPr>
          <w:bCs/>
        </w:rPr>
        <w:t xml:space="preserve">na podstawie doświadczeń własnych i obserwacji sytuacji w gminie, obecnie posiadają </w:t>
      </w:r>
      <w:r w:rsidR="002B4397">
        <w:rPr>
          <w:bCs/>
        </w:rPr>
        <w:t xml:space="preserve">własną </w:t>
      </w:r>
      <w:r w:rsidR="000A1730">
        <w:rPr>
          <w:bCs/>
        </w:rPr>
        <w:t xml:space="preserve">metodykę </w:t>
      </w:r>
      <w:r w:rsidR="002B4397">
        <w:rPr>
          <w:bCs/>
        </w:rPr>
        <w:t>diagnostyczną</w:t>
      </w:r>
      <w:r w:rsidR="002B4397">
        <w:rPr>
          <w:rStyle w:val="Odwoanieprzypisudolnego"/>
          <w:bCs/>
        </w:rPr>
        <w:footnoteReference w:id="2"/>
      </w:r>
      <w:r w:rsidR="002B4397">
        <w:rPr>
          <w:bCs/>
        </w:rPr>
        <w:t xml:space="preserve">. </w:t>
      </w:r>
      <w:r w:rsidR="009F6450">
        <w:rPr>
          <w:bCs/>
        </w:rPr>
        <w:t xml:space="preserve">Zarówno ustawa o rewitalizacji, jak i </w:t>
      </w:r>
      <w:r w:rsidR="009F6450" w:rsidRPr="00E049F9">
        <w:rPr>
          <w:bCs/>
          <w:i/>
        </w:rPr>
        <w:t>Wytyczne</w:t>
      </w:r>
      <w:r w:rsidR="009F6450">
        <w:rPr>
          <w:bCs/>
        </w:rPr>
        <w:t xml:space="preserve"> </w:t>
      </w:r>
      <w:r>
        <w:rPr>
          <w:bCs/>
        </w:rPr>
        <w:t>precyzyjnie określ</w:t>
      </w:r>
      <w:r w:rsidR="009F6450">
        <w:rPr>
          <w:bCs/>
        </w:rPr>
        <w:t xml:space="preserve">iły definicje obszaru zdegradowanego </w:t>
      </w:r>
      <w:r w:rsidR="00A94573">
        <w:rPr>
          <w:bCs/>
        </w:rPr>
        <w:t>i</w:t>
      </w:r>
      <w:r w:rsidR="009F6450">
        <w:rPr>
          <w:bCs/>
        </w:rPr>
        <w:t xml:space="preserve"> kryteria wyznaczania obszaru rewitalizacji</w:t>
      </w:r>
      <w:r>
        <w:rPr>
          <w:bCs/>
        </w:rPr>
        <w:t xml:space="preserve">. </w:t>
      </w:r>
      <w:r w:rsidR="00E3659D">
        <w:rPr>
          <w:bCs/>
        </w:rPr>
        <w:t xml:space="preserve">Uniwersalność </w:t>
      </w:r>
      <w:r w:rsidR="0023404E">
        <w:rPr>
          <w:bCs/>
        </w:rPr>
        <w:t xml:space="preserve">tych rozwiązań spowodowała rozlanie się procesów rewitalizacji poza obszary miejskie. Obecnie rewitalizacja może z powodzeniem </w:t>
      </w:r>
      <w:r w:rsidR="00A94573">
        <w:rPr>
          <w:bCs/>
        </w:rPr>
        <w:t xml:space="preserve">być </w:t>
      </w:r>
      <w:r w:rsidR="0023404E">
        <w:rPr>
          <w:bCs/>
        </w:rPr>
        <w:t xml:space="preserve">realizowana na terenach wiejskich, </w:t>
      </w:r>
      <w:r w:rsidR="00A94573">
        <w:rPr>
          <w:bCs/>
        </w:rPr>
        <w:t>na</w:t>
      </w:r>
      <w:r w:rsidR="0023404E">
        <w:rPr>
          <w:bCs/>
        </w:rPr>
        <w:t xml:space="preserve"> których </w:t>
      </w:r>
      <w:r w:rsidR="00083213">
        <w:rPr>
          <w:bCs/>
        </w:rPr>
        <w:t xml:space="preserve">wyznaczane są obszary zdegradowane tymi samymi metodami, co w miastach. </w:t>
      </w:r>
    </w:p>
    <w:p w14:paraId="2FC9F03A" w14:textId="6FB215A3" w:rsidR="00CC4D2C" w:rsidRDefault="00CC4D2C" w:rsidP="00CC4D2C">
      <w:pPr>
        <w:spacing w:line="312" w:lineRule="auto"/>
        <w:jc w:val="both"/>
        <w:rPr>
          <w:b/>
          <w:bCs/>
        </w:rPr>
      </w:pPr>
      <w:r w:rsidRPr="00CC4D2C">
        <w:rPr>
          <w:b/>
          <w:bCs/>
        </w:rPr>
        <w:t>Czemu służy wyznaczenie obszaru zdegradowanego</w:t>
      </w:r>
      <w:r w:rsidR="00832AD8">
        <w:rPr>
          <w:b/>
          <w:bCs/>
        </w:rPr>
        <w:t>?</w:t>
      </w:r>
    </w:p>
    <w:p w14:paraId="013951B4" w14:textId="4CE39756" w:rsidR="00524855" w:rsidRDefault="003423DA" w:rsidP="00CC4D2C">
      <w:pPr>
        <w:spacing w:line="312" w:lineRule="auto"/>
        <w:jc w:val="both"/>
      </w:pPr>
      <w:r>
        <w:t>W</w:t>
      </w:r>
      <w:r w:rsidR="00D579CD">
        <w:t xml:space="preserve"> sytuacji, gdy </w:t>
      </w:r>
      <w:r w:rsidR="00083213">
        <w:t xml:space="preserve">gmina planuje </w:t>
      </w:r>
      <w:r w:rsidR="002133B2">
        <w:t>realizować zadanie własne w zakresie rewitalizacji (</w:t>
      </w:r>
      <w:r w:rsidR="00D579CD">
        <w:t>w postaci przygotowania, koordynowania i tworzenia warunków do prowadzenia rewitalizacji, a także jej prowadzeni</w:t>
      </w:r>
      <w:r w:rsidR="002133B2">
        <w:t>a)</w:t>
      </w:r>
      <w:r w:rsidR="00D579CD">
        <w:t xml:space="preserve">, konieczne jest </w:t>
      </w:r>
      <w:r w:rsidR="002133B2">
        <w:t xml:space="preserve">wcześniejsze </w:t>
      </w:r>
      <w:r w:rsidR="00D579CD">
        <w:t>wyznaczenie obszaru zdegradowanego i obszaru rewitalizacji (art. 8 ust. 1)</w:t>
      </w:r>
      <w:r w:rsidR="00171E8F">
        <w:t>.</w:t>
      </w:r>
      <w:r w:rsidR="00524855">
        <w:t xml:space="preserve"> </w:t>
      </w:r>
      <w:r>
        <w:t>R</w:t>
      </w:r>
      <w:r w:rsidR="00626A44" w:rsidRPr="00626A44">
        <w:t>ewitalizacja</w:t>
      </w:r>
      <w:r>
        <w:t>,</w:t>
      </w:r>
      <w:r w:rsidR="00626A44" w:rsidRPr="00626A44">
        <w:t xml:space="preserve"> </w:t>
      </w:r>
      <w:r>
        <w:t>będąca zintegrowanym zbiorem działań różnych podmiotów</w:t>
      </w:r>
      <w:r w:rsidR="00FB5EFF">
        <w:t xml:space="preserve">, nie może być prowadzona na terenie całej gminy. </w:t>
      </w:r>
      <w:r w:rsidR="000D05A4">
        <w:t>Konieczność</w:t>
      </w:r>
      <w:r w:rsidR="00FB5EFF">
        <w:t xml:space="preserve"> </w:t>
      </w:r>
      <w:r w:rsidR="000D05A4">
        <w:t xml:space="preserve">koncentracji </w:t>
      </w:r>
      <w:r w:rsidR="00FB5EFF">
        <w:t>działań</w:t>
      </w:r>
      <w:r w:rsidR="000D05A4">
        <w:t>, wynikająca z</w:t>
      </w:r>
      <w:r w:rsidR="00C820C1">
        <w:t> </w:t>
      </w:r>
      <w:r w:rsidR="000D05A4">
        <w:t xml:space="preserve">wymogów stawianych obszarowi rewitalizacji, wymaga wybrania z terenu gminy mniejszego terytorium, najbardziej wymagającego wsparcia </w:t>
      </w:r>
      <w:r w:rsidR="00B15D2A">
        <w:t xml:space="preserve">w odniesieniu do problemów </w:t>
      </w:r>
      <w:r w:rsidR="00B15D2A" w:rsidRPr="00626A44">
        <w:t>lokalnej społeczności, przestrzeni i gospodarki</w:t>
      </w:r>
      <w:r w:rsidR="00B15D2A">
        <w:t>. W</w:t>
      </w:r>
      <w:r w:rsidR="00626A44">
        <w:t xml:space="preserve">yznaczenie obszaru zdegradowanego jest </w:t>
      </w:r>
      <w:r w:rsidR="00B15D2A">
        <w:t xml:space="preserve">więc </w:t>
      </w:r>
      <w:r w:rsidR="00524855">
        <w:t>działanie</w:t>
      </w:r>
      <w:r w:rsidR="00626A44">
        <w:t>m</w:t>
      </w:r>
      <w:r w:rsidR="00524855">
        <w:t xml:space="preserve"> konieczn</w:t>
      </w:r>
      <w:r w:rsidR="00626A44">
        <w:t>ym</w:t>
      </w:r>
      <w:r w:rsidR="00B15D2A">
        <w:t>,</w:t>
      </w:r>
      <w:r w:rsidR="007C1E06">
        <w:t xml:space="preserve"> służącym</w:t>
      </w:r>
      <w:r w:rsidR="00524855">
        <w:t xml:space="preserve"> </w:t>
      </w:r>
      <w:r w:rsidR="00177898">
        <w:t>wskazaniu tych obszarów w gminie, które wymagają pilnej, wieloaspektowej interwencji</w:t>
      </w:r>
      <w:r w:rsidR="0074226E">
        <w:t xml:space="preserve">, służącej </w:t>
      </w:r>
      <w:r w:rsidR="0014267D">
        <w:t>pobudzeniu procesów ro</w:t>
      </w:r>
      <w:r w:rsidR="00213C15">
        <w:t>zwoju lokalnego na tym terenie.</w:t>
      </w:r>
    </w:p>
    <w:p w14:paraId="5D790DB8" w14:textId="52319B27" w:rsidR="00832AD8" w:rsidRDefault="00832AD8" w:rsidP="00CC4D2C">
      <w:pPr>
        <w:spacing w:line="312" w:lineRule="auto"/>
        <w:jc w:val="both"/>
      </w:pPr>
      <w:r>
        <w:rPr>
          <w:b/>
          <w:bCs/>
        </w:rPr>
        <w:t>J</w:t>
      </w:r>
      <w:r w:rsidRPr="00832AD8">
        <w:rPr>
          <w:b/>
          <w:bCs/>
        </w:rPr>
        <w:t>akie są etapy wyznaczania obszaru zdegradowanego</w:t>
      </w:r>
      <w:r>
        <w:rPr>
          <w:b/>
          <w:bCs/>
        </w:rPr>
        <w:t>?</w:t>
      </w:r>
    </w:p>
    <w:p w14:paraId="34B33A3A" w14:textId="2333D6A2" w:rsidR="00F34C00" w:rsidRDefault="001351E3" w:rsidP="00CC4D2C">
      <w:pPr>
        <w:spacing w:line="312" w:lineRule="auto"/>
        <w:jc w:val="both"/>
      </w:pPr>
      <w:r>
        <w:t xml:space="preserve">Wyznaczenie obszaru zdegradowanego jest </w:t>
      </w:r>
      <w:r w:rsidR="00C820C1">
        <w:t xml:space="preserve">poprzedzone </w:t>
      </w:r>
      <w:r>
        <w:t xml:space="preserve">przeprowadzeniem </w:t>
      </w:r>
      <w:r w:rsidR="00A44C31">
        <w:t xml:space="preserve">analizy zróżnicowania wewnątrzgminnego </w:t>
      </w:r>
      <w:r>
        <w:t>dla obszaru całej gminy.</w:t>
      </w:r>
      <w:r w:rsidR="00C24120">
        <w:t xml:space="preserve"> </w:t>
      </w:r>
      <w:r w:rsidR="00A44C31">
        <w:t>Celem analizy jest zebranie wiedzy n</w:t>
      </w:r>
      <w:r w:rsidR="00C820C1">
        <w:t>a temat</w:t>
      </w:r>
      <w:r w:rsidR="00A44C31">
        <w:t xml:space="preserve"> czynników kryzysowych występujących na terenie gminy</w:t>
      </w:r>
      <w:r w:rsidR="00812F03">
        <w:t xml:space="preserve">, która do tego celu powinna zostać podzielona na mniejsze jednostki odniesienia. </w:t>
      </w:r>
      <w:r w:rsidR="00F34C00">
        <w:t>Do analizy można przyjąć jeden z dwóch sposobów podziału gminy:</w:t>
      </w:r>
    </w:p>
    <w:p w14:paraId="02EA9038" w14:textId="545B84D9" w:rsidR="00CB1AE6" w:rsidRDefault="00E05503" w:rsidP="002753B1">
      <w:pPr>
        <w:pStyle w:val="Akapitzlist"/>
        <w:numPr>
          <w:ilvl w:val="0"/>
          <w:numId w:val="14"/>
        </w:numPr>
        <w:spacing w:line="312" w:lineRule="auto"/>
        <w:ind w:left="284" w:hanging="284"/>
        <w:jc w:val="both"/>
      </w:pPr>
      <w:r>
        <w:t>P</w:t>
      </w:r>
      <w:r w:rsidR="00F34C00">
        <w:t>rzestrzenne jednostki odpowiadające</w:t>
      </w:r>
      <w:r w:rsidR="00F81472">
        <w:t xml:space="preserve"> </w:t>
      </w:r>
      <w:r w:rsidR="00F34C00">
        <w:t>np</w:t>
      </w:r>
      <w:r w:rsidR="00F34C00" w:rsidRPr="00F34C00">
        <w:t>. granic</w:t>
      </w:r>
      <w:r w:rsidR="00F34C00">
        <w:t>om</w:t>
      </w:r>
      <w:r w:rsidR="00F34C00" w:rsidRPr="00F34C00">
        <w:t xml:space="preserve"> sołectw, osiedli, dzielnic, obwodów wyborczych</w:t>
      </w:r>
      <w:r w:rsidR="00F34C00">
        <w:t xml:space="preserve"> albo </w:t>
      </w:r>
    </w:p>
    <w:p w14:paraId="0E616816" w14:textId="1D97A7F3" w:rsidR="00F34C00" w:rsidRDefault="00E05503" w:rsidP="002753B1">
      <w:pPr>
        <w:pStyle w:val="Akapitzlist"/>
        <w:numPr>
          <w:ilvl w:val="0"/>
          <w:numId w:val="14"/>
        </w:numPr>
        <w:spacing w:line="312" w:lineRule="auto"/>
        <w:ind w:left="284" w:hanging="284"/>
        <w:jc w:val="both"/>
      </w:pPr>
      <w:r>
        <w:lastRenderedPageBreak/>
        <w:t>j</w:t>
      </w:r>
      <w:r w:rsidR="00F34C00">
        <w:t>ednostki modularne</w:t>
      </w:r>
      <w:r w:rsidR="00C820C1">
        <w:t xml:space="preserve"> –</w:t>
      </w:r>
      <w:r w:rsidR="00F34C00">
        <w:t xml:space="preserve"> np. GRID, czyli siatka kwadratów lub heksagonów</w:t>
      </w:r>
      <w:r w:rsidR="004838B5">
        <w:t>.</w:t>
      </w:r>
    </w:p>
    <w:p w14:paraId="3406440E" w14:textId="6954C13D" w:rsidR="00A83117" w:rsidRDefault="00F34C00" w:rsidP="00CC4D2C">
      <w:pPr>
        <w:spacing w:line="312" w:lineRule="auto"/>
        <w:jc w:val="both"/>
      </w:pPr>
      <w:r>
        <w:t xml:space="preserve">Pierwszy podział pozwala uchwycić problemy koncentrujące się w granicach obszarów naturalnie funkcjonujących w gminie, drugi zaś pozwala wskazać </w:t>
      </w:r>
      <w:r w:rsidR="00812F03">
        <w:t xml:space="preserve">precyzyjnie </w:t>
      </w:r>
      <w:r w:rsidR="000A638C">
        <w:t xml:space="preserve">fragmenty gminy o </w:t>
      </w:r>
      <w:r>
        <w:t>największej kumulacji negatywnych zjawisk</w:t>
      </w:r>
      <w:r w:rsidR="00812F03">
        <w:t>,</w:t>
      </w:r>
      <w:r>
        <w:t xml:space="preserve"> niezależnie od </w:t>
      </w:r>
      <w:r w:rsidR="000A638C">
        <w:t xml:space="preserve">jej wewnętrznych </w:t>
      </w:r>
      <w:r>
        <w:t>podział</w:t>
      </w:r>
      <w:r w:rsidR="000A638C">
        <w:t xml:space="preserve">ów </w:t>
      </w:r>
      <w:r>
        <w:t>administracyjn</w:t>
      </w:r>
      <w:r w:rsidR="000A638C">
        <w:t>ych</w:t>
      </w:r>
      <w:r>
        <w:t>.</w:t>
      </w:r>
      <w:r w:rsidR="0086496D">
        <w:t xml:space="preserve"> </w:t>
      </w:r>
      <w:r w:rsidR="00C820C1">
        <w:t>Co ważne,</w:t>
      </w:r>
      <w:r w:rsidR="0086496D">
        <w:t xml:space="preserve"> wybór podziału gminy na jednostki analityczne nie rzutuje na sposób przeprowadzenia diagnozy</w:t>
      </w:r>
      <w:r w:rsidR="00C820C1">
        <w:t xml:space="preserve"> –</w:t>
      </w:r>
      <w:r w:rsidR="0086496D">
        <w:t xml:space="preserve"> zarówno dla jednostek przestrzennych, jak i modularnych </w:t>
      </w:r>
      <w:r w:rsidR="0043679E">
        <w:t xml:space="preserve">obowiązują te same wskaźniki kontekstowe i metody ich wyliczania. Obydwie metody różnią się od siebie tylko sposobem prezentacji danych. </w:t>
      </w:r>
    </w:p>
    <w:p w14:paraId="25DD33A8" w14:textId="27CECB7A" w:rsidR="00C24120" w:rsidRDefault="007C7947" w:rsidP="00CC4D2C">
      <w:pPr>
        <w:spacing w:line="312" w:lineRule="auto"/>
        <w:jc w:val="both"/>
      </w:pPr>
      <w:r w:rsidRPr="007C7947">
        <w:t xml:space="preserve">Po </w:t>
      </w:r>
      <w:r w:rsidR="0043679E">
        <w:t xml:space="preserve">wytyczeniu </w:t>
      </w:r>
      <w:r w:rsidRPr="007C7947">
        <w:t xml:space="preserve">jednostek analitycznych na terenie gminy, w następnej kolejności należy przeprowadzić analizę negatywnych zjawisk </w:t>
      </w:r>
      <w:r w:rsidR="00663C68">
        <w:t xml:space="preserve">z użyciem obiektywnych mierników, czyli </w:t>
      </w:r>
      <w:r w:rsidRPr="007C7947">
        <w:t>wskaźników</w:t>
      </w:r>
      <w:r w:rsidR="00663C68">
        <w:t xml:space="preserve"> </w:t>
      </w:r>
      <w:r w:rsidR="00A739FA">
        <w:t xml:space="preserve">statystycznych. Kluczową daną w procesie analizy zróżnicowania wewnątrzgminnego jest wartość referencyjna danego wskaźnika, czyli średnia dla gminy. O uznaniu jednostki za zdegradowaną decydują odchylenia wyliczanych wskaźników od wartości referencyjnej </w:t>
      </w:r>
      <w:r w:rsidR="006B7A80">
        <w:t>(</w:t>
      </w:r>
      <w:r w:rsidR="00A739FA">
        <w:t>średniej dla gminy</w:t>
      </w:r>
      <w:r w:rsidR="006B7A80">
        <w:t>)</w:t>
      </w:r>
      <w:r w:rsidR="00A739FA">
        <w:t>.</w:t>
      </w:r>
      <w:r>
        <w:t xml:space="preserve"> </w:t>
      </w:r>
      <w:r w:rsidR="006B7A80">
        <w:t xml:space="preserve">W praktyce gmin obszar zdegradowany </w:t>
      </w:r>
      <w:r w:rsidR="006B7A80" w:rsidRPr="00A2003D">
        <w:t xml:space="preserve">jest najczęściej </w:t>
      </w:r>
      <w:r w:rsidR="00C820C1" w:rsidRPr="00A2003D">
        <w:t>wyznacza</w:t>
      </w:r>
      <w:r w:rsidR="00215A2D">
        <w:t xml:space="preserve">ny z użyciem kryterium </w:t>
      </w:r>
      <w:r>
        <w:t>największej liczb</w:t>
      </w:r>
      <w:r w:rsidR="006B7A80">
        <w:t>y</w:t>
      </w:r>
      <w:r>
        <w:t xml:space="preserve"> wskaźników przekraczających wartość średnią dla gminy.</w:t>
      </w:r>
      <w:r w:rsidR="00A83117">
        <w:t xml:space="preserve"> </w:t>
      </w:r>
    </w:p>
    <w:p w14:paraId="13660F86" w14:textId="77777777" w:rsidR="007C7947" w:rsidRPr="007C7947" w:rsidRDefault="007C7947" w:rsidP="007C7947">
      <w:pPr>
        <w:spacing w:line="312" w:lineRule="auto"/>
        <w:jc w:val="both"/>
        <w:rPr>
          <w:b/>
          <w:bCs/>
        </w:rPr>
      </w:pPr>
      <w:r w:rsidRPr="007C7947">
        <w:rPr>
          <w:b/>
          <w:bCs/>
        </w:rPr>
        <w:t>Jakie zjawiska analizować w procesie wyznaczania obszaru zdegradowanego?</w:t>
      </w:r>
    </w:p>
    <w:p w14:paraId="029E0A33" w14:textId="65D86ED3" w:rsidR="00982EC1" w:rsidRDefault="006A57E5" w:rsidP="00CC4D2C">
      <w:pPr>
        <w:spacing w:line="312" w:lineRule="auto"/>
        <w:jc w:val="both"/>
      </w:pPr>
      <w:r>
        <w:t>Zgodnie z art. 9 ust. 1 ustawy o rewitalizacji obszar</w:t>
      </w:r>
      <w:r w:rsidR="006D4AFD">
        <w:t xml:space="preserve"> </w:t>
      </w:r>
      <w:r>
        <w:t xml:space="preserve">zdegradowany </w:t>
      </w:r>
      <w:r w:rsidR="006D4AFD">
        <w:t xml:space="preserve">powinien </w:t>
      </w:r>
      <w:r>
        <w:t>charakteryzować się kumulacją negatywnych zjawisk w sferze społecznej</w:t>
      </w:r>
      <w:r w:rsidR="006D4AFD">
        <w:t>, współwystępujących z innymi negatywnymi czynnikami (</w:t>
      </w:r>
      <w:r>
        <w:t xml:space="preserve">co najmniej </w:t>
      </w:r>
      <w:r w:rsidR="006D4AFD">
        <w:t xml:space="preserve">w </w:t>
      </w:r>
      <w:r>
        <w:t>jednej z pozostałych sfer</w:t>
      </w:r>
      <w:r w:rsidR="006D4AFD">
        <w:t>:</w:t>
      </w:r>
      <w:r>
        <w:t xml:space="preserve"> gospodarczej, środowiskowej, przestrzenno-funkcjonalnej </w:t>
      </w:r>
      <w:r w:rsidR="00C820C1">
        <w:t>i</w:t>
      </w:r>
      <w:r>
        <w:t xml:space="preserve"> technicz</w:t>
      </w:r>
      <w:r w:rsidR="001334AD">
        <w:t>nej</w:t>
      </w:r>
      <w:r w:rsidR="00282E7D">
        <w:t>)</w:t>
      </w:r>
      <w:r w:rsidR="001334AD">
        <w:t>.</w:t>
      </w:r>
      <w:r w:rsidR="00DB15C5">
        <w:t xml:space="preserve"> </w:t>
      </w:r>
      <w:r w:rsidR="00282E7D">
        <w:t xml:space="preserve">Katalog negatywnych zjawisk, które </w:t>
      </w:r>
      <w:r w:rsidR="00562DC4">
        <w:t>powinno się</w:t>
      </w:r>
      <w:r w:rsidR="00DB15C5">
        <w:t xml:space="preserve"> poddawać analizie</w:t>
      </w:r>
      <w:r w:rsidR="00562DC4">
        <w:t>,</w:t>
      </w:r>
      <w:r w:rsidR="00DB15C5">
        <w:t xml:space="preserve"> przedstawiono</w:t>
      </w:r>
      <w:r w:rsidR="00C24120">
        <w:t xml:space="preserve"> w</w:t>
      </w:r>
      <w:r w:rsidR="00DB15C5">
        <w:t xml:space="preserve"> </w:t>
      </w:r>
      <w:r w:rsidR="00282E7D">
        <w:t>poniższej tabeli</w:t>
      </w:r>
      <w:r w:rsidR="00DB15C5">
        <w:t xml:space="preserve">. </w:t>
      </w:r>
    </w:p>
    <w:p w14:paraId="7715E4E0" w14:textId="1022BDD7" w:rsidR="00CB1AF2" w:rsidRPr="00CB1AF2" w:rsidRDefault="00CB1AF2" w:rsidP="00CB1AF2">
      <w:pPr>
        <w:pStyle w:val="Legenda"/>
        <w:spacing w:after="0"/>
        <w:rPr>
          <w:i w:val="0"/>
          <w:iCs w:val="0"/>
          <w:color w:val="auto"/>
          <w:sz w:val="20"/>
          <w:szCs w:val="20"/>
        </w:rPr>
      </w:pPr>
      <w:r w:rsidRPr="00CB1AF2">
        <w:rPr>
          <w:i w:val="0"/>
          <w:iCs w:val="0"/>
          <w:color w:val="auto"/>
          <w:sz w:val="20"/>
          <w:szCs w:val="20"/>
        </w:rPr>
        <w:t xml:space="preserve">Tabela </w:t>
      </w:r>
      <w:r w:rsidRPr="00CB1AF2">
        <w:rPr>
          <w:i w:val="0"/>
          <w:iCs w:val="0"/>
          <w:color w:val="auto"/>
          <w:sz w:val="20"/>
          <w:szCs w:val="20"/>
        </w:rPr>
        <w:fldChar w:fldCharType="begin"/>
      </w:r>
      <w:r w:rsidRPr="00CB1AF2">
        <w:rPr>
          <w:i w:val="0"/>
          <w:iCs w:val="0"/>
          <w:color w:val="auto"/>
          <w:sz w:val="20"/>
          <w:szCs w:val="20"/>
        </w:rPr>
        <w:instrText xml:space="preserve"> SEQ Tabela \* ARABIC </w:instrText>
      </w:r>
      <w:r w:rsidRPr="00CB1AF2">
        <w:rPr>
          <w:i w:val="0"/>
          <w:iCs w:val="0"/>
          <w:color w:val="auto"/>
          <w:sz w:val="20"/>
          <w:szCs w:val="20"/>
        </w:rPr>
        <w:fldChar w:fldCharType="separate"/>
      </w:r>
      <w:r w:rsidR="005A2420">
        <w:rPr>
          <w:i w:val="0"/>
          <w:iCs w:val="0"/>
          <w:noProof/>
          <w:color w:val="auto"/>
          <w:sz w:val="20"/>
          <w:szCs w:val="20"/>
        </w:rPr>
        <w:t>1</w:t>
      </w:r>
      <w:r w:rsidRPr="00CB1AF2">
        <w:rPr>
          <w:i w:val="0"/>
          <w:iCs w:val="0"/>
          <w:color w:val="auto"/>
          <w:sz w:val="20"/>
          <w:szCs w:val="20"/>
        </w:rPr>
        <w:fldChar w:fldCharType="end"/>
      </w:r>
      <w:r w:rsidRPr="00CB1AF2">
        <w:rPr>
          <w:i w:val="0"/>
          <w:iCs w:val="0"/>
          <w:color w:val="auto"/>
          <w:sz w:val="20"/>
          <w:szCs w:val="20"/>
        </w:rPr>
        <w:t>. Negatywne zjawiska poddawane analizie na potrzeby diagnozy obszaru zdegradowanego w gminie</w:t>
      </w:r>
    </w:p>
    <w:tbl>
      <w:tblPr>
        <w:tblStyle w:val="Tabela-Siatka"/>
        <w:tblW w:w="0" w:type="auto"/>
        <w:tblLook w:val="04A0" w:firstRow="1" w:lastRow="0" w:firstColumn="1" w:lastColumn="0" w:noHBand="0" w:noVBand="1"/>
      </w:tblPr>
      <w:tblGrid>
        <w:gridCol w:w="2689"/>
        <w:gridCol w:w="6373"/>
      </w:tblGrid>
      <w:tr w:rsidR="00982EC1" w14:paraId="09513043" w14:textId="77777777" w:rsidTr="005C260F">
        <w:tc>
          <w:tcPr>
            <w:tcW w:w="2689" w:type="dxa"/>
            <w:vAlign w:val="center"/>
          </w:tcPr>
          <w:p w14:paraId="3BCFF96C" w14:textId="66838636" w:rsidR="00982EC1" w:rsidRPr="005C260F" w:rsidRDefault="00C820C1" w:rsidP="005C260F">
            <w:pPr>
              <w:spacing w:line="312" w:lineRule="auto"/>
              <w:jc w:val="center"/>
              <w:rPr>
                <w:b/>
                <w:bCs/>
              </w:rPr>
            </w:pPr>
            <w:r>
              <w:rPr>
                <w:b/>
                <w:bCs/>
              </w:rPr>
              <w:t>S</w:t>
            </w:r>
            <w:r w:rsidR="00982EC1" w:rsidRPr="005C260F">
              <w:rPr>
                <w:b/>
                <w:bCs/>
              </w:rPr>
              <w:t>fera</w:t>
            </w:r>
          </w:p>
        </w:tc>
        <w:tc>
          <w:tcPr>
            <w:tcW w:w="6373" w:type="dxa"/>
            <w:vAlign w:val="center"/>
          </w:tcPr>
          <w:p w14:paraId="34A06BB8" w14:textId="206FA922" w:rsidR="00982EC1" w:rsidRPr="005C260F" w:rsidRDefault="00C820C1" w:rsidP="005C260F">
            <w:pPr>
              <w:spacing w:line="312" w:lineRule="auto"/>
              <w:jc w:val="center"/>
              <w:rPr>
                <w:b/>
                <w:bCs/>
              </w:rPr>
            </w:pPr>
            <w:r>
              <w:rPr>
                <w:b/>
                <w:bCs/>
              </w:rPr>
              <w:t>N</w:t>
            </w:r>
            <w:r w:rsidR="00982EC1" w:rsidRPr="005C260F">
              <w:rPr>
                <w:b/>
                <w:bCs/>
              </w:rPr>
              <w:t>egatywne zjawiska analizowane w sferze</w:t>
            </w:r>
          </w:p>
        </w:tc>
      </w:tr>
      <w:tr w:rsidR="00982EC1" w14:paraId="6606C3CE" w14:textId="77777777" w:rsidTr="005C260F">
        <w:tc>
          <w:tcPr>
            <w:tcW w:w="2689" w:type="dxa"/>
            <w:vAlign w:val="center"/>
          </w:tcPr>
          <w:p w14:paraId="0AB53995" w14:textId="37D93429" w:rsidR="00982EC1" w:rsidRPr="005C260F" w:rsidRDefault="00982EC1" w:rsidP="00C820C1">
            <w:pPr>
              <w:spacing w:line="312" w:lineRule="auto"/>
              <w:jc w:val="center"/>
              <w:rPr>
                <w:b/>
                <w:bCs/>
              </w:rPr>
            </w:pPr>
            <w:r w:rsidRPr="005C260F">
              <w:rPr>
                <w:b/>
                <w:bCs/>
              </w:rPr>
              <w:t>społeczna</w:t>
            </w:r>
          </w:p>
        </w:tc>
        <w:tc>
          <w:tcPr>
            <w:tcW w:w="6373" w:type="dxa"/>
            <w:vAlign w:val="center"/>
          </w:tcPr>
          <w:p w14:paraId="2308709A" w14:textId="773CE2B0" w:rsidR="00982EC1" w:rsidRDefault="00982EC1" w:rsidP="005C260F">
            <w:pPr>
              <w:pStyle w:val="Akapitzlist"/>
              <w:numPr>
                <w:ilvl w:val="0"/>
                <w:numId w:val="12"/>
              </w:numPr>
              <w:spacing w:line="312" w:lineRule="auto"/>
              <w:ind w:left="180" w:hanging="225"/>
              <w:jc w:val="both"/>
            </w:pPr>
            <w:r w:rsidRPr="00982EC1">
              <w:t>bezroboci</w:t>
            </w:r>
            <w:r>
              <w:t>e</w:t>
            </w:r>
          </w:p>
          <w:p w14:paraId="62CC2971" w14:textId="7E3C605C" w:rsidR="00982EC1" w:rsidRDefault="00982EC1" w:rsidP="005C260F">
            <w:pPr>
              <w:pStyle w:val="Akapitzlist"/>
              <w:numPr>
                <w:ilvl w:val="0"/>
                <w:numId w:val="12"/>
              </w:numPr>
              <w:spacing w:line="312" w:lineRule="auto"/>
              <w:ind w:left="180" w:hanging="225"/>
              <w:jc w:val="both"/>
            </w:pPr>
            <w:r w:rsidRPr="00982EC1">
              <w:t>ubóstw</w:t>
            </w:r>
            <w:r>
              <w:t>o</w:t>
            </w:r>
          </w:p>
          <w:p w14:paraId="7BFFD8CD" w14:textId="3C65033D" w:rsidR="00982EC1" w:rsidRDefault="00982EC1" w:rsidP="005C260F">
            <w:pPr>
              <w:pStyle w:val="Akapitzlist"/>
              <w:numPr>
                <w:ilvl w:val="0"/>
                <w:numId w:val="12"/>
              </w:numPr>
              <w:spacing w:line="312" w:lineRule="auto"/>
              <w:ind w:left="180" w:hanging="225"/>
              <w:jc w:val="both"/>
            </w:pPr>
            <w:r w:rsidRPr="00982EC1">
              <w:t>przestępczoś</w:t>
            </w:r>
            <w:r>
              <w:t>ć</w:t>
            </w:r>
          </w:p>
          <w:p w14:paraId="14BE37D5" w14:textId="0A39FEF9" w:rsidR="00562DC4" w:rsidRDefault="00982EC1" w:rsidP="005C260F">
            <w:pPr>
              <w:pStyle w:val="Akapitzlist"/>
              <w:numPr>
                <w:ilvl w:val="0"/>
                <w:numId w:val="12"/>
              </w:numPr>
              <w:spacing w:line="312" w:lineRule="auto"/>
              <w:ind w:left="180" w:hanging="225"/>
              <w:jc w:val="both"/>
            </w:pPr>
            <w:r w:rsidRPr="00982EC1">
              <w:t>wysok</w:t>
            </w:r>
            <w:r>
              <w:t>a</w:t>
            </w:r>
            <w:r w:rsidRPr="00982EC1">
              <w:t xml:space="preserve"> liczb</w:t>
            </w:r>
            <w:r w:rsidR="00562DC4">
              <w:t>a</w:t>
            </w:r>
            <w:r w:rsidRPr="00982EC1">
              <w:t xml:space="preserve"> mieszkańców będących osobami ze szczególnymi potrzebami</w:t>
            </w:r>
            <w:r w:rsidR="00F109BD">
              <w:t xml:space="preserve"> w zakresie dostępności </w:t>
            </w:r>
          </w:p>
          <w:p w14:paraId="26999254" w14:textId="6DF758B1" w:rsidR="00562DC4" w:rsidRDefault="00982EC1" w:rsidP="005C260F">
            <w:pPr>
              <w:pStyle w:val="Akapitzlist"/>
              <w:numPr>
                <w:ilvl w:val="0"/>
                <w:numId w:val="12"/>
              </w:numPr>
              <w:spacing w:line="312" w:lineRule="auto"/>
              <w:ind w:left="180" w:hanging="225"/>
              <w:jc w:val="both"/>
            </w:pPr>
            <w:r w:rsidRPr="00982EC1">
              <w:t xml:space="preserve">niski poziom edukacji lub kapitału społecznego </w:t>
            </w:r>
          </w:p>
          <w:p w14:paraId="656EC84B" w14:textId="52CD21ED" w:rsidR="00982EC1" w:rsidRDefault="00982EC1" w:rsidP="005C260F">
            <w:pPr>
              <w:pStyle w:val="Akapitzlist"/>
              <w:numPr>
                <w:ilvl w:val="0"/>
                <w:numId w:val="12"/>
              </w:numPr>
              <w:spacing w:line="312" w:lineRule="auto"/>
              <w:ind w:left="180" w:hanging="225"/>
              <w:jc w:val="both"/>
            </w:pPr>
            <w:r w:rsidRPr="00982EC1">
              <w:t>niewystarczając</w:t>
            </w:r>
            <w:r w:rsidR="00562DC4">
              <w:t>y</w:t>
            </w:r>
            <w:r w:rsidRPr="00982EC1">
              <w:t xml:space="preserve"> </w:t>
            </w:r>
            <w:r w:rsidRPr="00E82E33">
              <w:t>poziom</w:t>
            </w:r>
            <w:r w:rsidRPr="00982EC1">
              <w:t xml:space="preserve"> uczestnictwa w życiu publicznym i kulturalnym</w:t>
            </w:r>
          </w:p>
        </w:tc>
      </w:tr>
      <w:tr w:rsidR="00982EC1" w14:paraId="7081E3CD" w14:textId="77777777" w:rsidTr="005C260F">
        <w:tc>
          <w:tcPr>
            <w:tcW w:w="2689" w:type="dxa"/>
            <w:vAlign w:val="center"/>
          </w:tcPr>
          <w:p w14:paraId="2C929885" w14:textId="08B6B43E" w:rsidR="00982EC1" w:rsidRPr="005C260F" w:rsidRDefault="00982EC1" w:rsidP="00C820C1">
            <w:pPr>
              <w:spacing w:line="312" w:lineRule="auto"/>
              <w:jc w:val="center"/>
              <w:rPr>
                <w:b/>
                <w:bCs/>
              </w:rPr>
            </w:pPr>
            <w:r w:rsidRPr="005C260F">
              <w:rPr>
                <w:b/>
                <w:bCs/>
              </w:rPr>
              <w:t>gospodarcza</w:t>
            </w:r>
          </w:p>
        </w:tc>
        <w:tc>
          <w:tcPr>
            <w:tcW w:w="6373" w:type="dxa"/>
            <w:vAlign w:val="center"/>
          </w:tcPr>
          <w:p w14:paraId="35A38B2C" w14:textId="45126E05" w:rsidR="00562DC4" w:rsidRDefault="00562DC4" w:rsidP="005C260F">
            <w:pPr>
              <w:pStyle w:val="Akapitzlist"/>
              <w:numPr>
                <w:ilvl w:val="0"/>
                <w:numId w:val="12"/>
              </w:numPr>
              <w:spacing w:line="312" w:lineRule="auto"/>
              <w:ind w:left="180" w:hanging="225"/>
              <w:jc w:val="both"/>
            </w:pPr>
            <w:r w:rsidRPr="00562DC4">
              <w:t>niski sto</w:t>
            </w:r>
            <w:r>
              <w:t>pień</w:t>
            </w:r>
            <w:r w:rsidRPr="00562DC4">
              <w:t xml:space="preserve"> przedsiębiorczośc</w:t>
            </w:r>
            <w:r>
              <w:t>i</w:t>
            </w:r>
          </w:p>
          <w:p w14:paraId="0EF1E243" w14:textId="6F13890F" w:rsidR="00982EC1" w:rsidRDefault="00562DC4" w:rsidP="005C260F">
            <w:pPr>
              <w:pStyle w:val="Akapitzlist"/>
              <w:numPr>
                <w:ilvl w:val="0"/>
                <w:numId w:val="12"/>
              </w:numPr>
              <w:spacing w:line="312" w:lineRule="auto"/>
              <w:ind w:left="180" w:hanging="225"/>
              <w:jc w:val="both"/>
            </w:pPr>
            <w:r w:rsidRPr="00562DC4">
              <w:t>słab</w:t>
            </w:r>
            <w:r>
              <w:t>a</w:t>
            </w:r>
            <w:r w:rsidRPr="00562DC4">
              <w:t xml:space="preserve"> kondycj</w:t>
            </w:r>
            <w:r>
              <w:t>a</w:t>
            </w:r>
            <w:r w:rsidRPr="00562DC4">
              <w:t xml:space="preserve"> lokalnych przedsiębiorstw</w:t>
            </w:r>
          </w:p>
        </w:tc>
      </w:tr>
      <w:tr w:rsidR="00982EC1" w14:paraId="364C9ADE" w14:textId="77777777" w:rsidTr="005C260F">
        <w:tc>
          <w:tcPr>
            <w:tcW w:w="2689" w:type="dxa"/>
            <w:vAlign w:val="center"/>
          </w:tcPr>
          <w:p w14:paraId="420D29E8" w14:textId="4F802BE7" w:rsidR="00982EC1" w:rsidRPr="005C260F" w:rsidRDefault="00982EC1" w:rsidP="00C820C1">
            <w:pPr>
              <w:spacing w:line="312" w:lineRule="auto"/>
              <w:jc w:val="center"/>
              <w:rPr>
                <w:b/>
                <w:bCs/>
              </w:rPr>
            </w:pPr>
            <w:r w:rsidRPr="005C260F">
              <w:rPr>
                <w:b/>
                <w:bCs/>
              </w:rPr>
              <w:t>środowiskowa</w:t>
            </w:r>
          </w:p>
        </w:tc>
        <w:tc>
          <w:tcPr>
            <w:tcW w:w="6373" w:type="dxa"/>
            <w:vAlign w:val="center"/>
          </w:tcPr>
          <w:p w14:paraId="7720C588" w14:textId="5B7DFD15" w:rsidR="00562DC4" w:rsidRDefault="00562DC4" w:rsidP="005C260F">
            <w:pPr>
              <w:pStyle w:val="Akapitzlist"/>
              <w:numPr>
                <w:ilvl w:val="0"/>
                <w:numId w:val="12"/>
              </w:numPr>
              <w:spacing w:line="312" w:lineRule="auto"/>
              <w:ind w:left="180" w:hanging="225"/>
              <w:jc w:val="both"/>
            </w:pPr>
            <w:r w:rsidRPr="00562DC4">
              <w:t>przekroczeni</w:t>
            </w:r>
            <w:r>
              <w:t>e</w:t>
            </w:r>
            <w:r w:rsidRPr="00562DC4">
              <w:t xml:space="preserve"> standardów jakości środowiska </w:t>
            </w:r>
          </w:p>
          <w:p w14:paraId="0E0D7BA1" w14:textId="0B62F98E" w:rsidR="00982EC1" w:rsidRDefault="00562DC4" w:rsidP="005C260F">
            <w:pPr>
              <w:pStyle w:val="Akapitzlist"/>
              <w:numPr>
                <w:ilvl w:val="0"/>
                <w:numId w:val="12"/>
              </w:numPr>
              <w:spacing w:line="312" w:lineRule="auto"/>
              <w:ind w:left="180" w:hanging="225"/>
              <w:jc w:val="both"/>
            </w:pPr>
            <w:r w:rsidRPr="00562DC4">
              <w:t>obecnoś</w:t>
            </w:r>
            <w:r>
              <w:t>ć</w:t>
            </w:r>
            <w:r w:rsidRPr="00562DC4">
              <w:t xml:space="preserve"> odpadów stwarzających zagrożenie dla życia, zdrowia ludzi lub stanu środowiska</w:t>
            </w:r>
          </w:p>
        </w:tc>
      </w:tr>
      <w:tr w:rsidR="00982EC1" w14:paraId="4DA9B31B" w14:textId="77777777" w:rsidTr="005C260F">
        <w:tc>
          <w:tcPr>
            <w:tcW w:w="2689" w:type="dxa"/>
            <w:vAlign w:val="center"/>
          </w:tcPr>
          <w:p w14:paraId="33DE0626" w14:textId="6DC590AD" w:rsidR="00982EC1" w:rsidRPr="005C260F" w:rsidRDefault="00982EC1" w:rsidP="00C820C1">
            <w:pPr>
              <w:spacing w:line="312" w:lineRule="auto"/>
              <w:jc w:val="center"/>
              <w:rPr>
                <w:b/>
                <w:bCs/>
              </w:rPr>
            </w:pPr>
            <w:r w:rsidRPr="005C260F">
              <w:rPr>
                <w:b/>
                <w:bCs/>
              </w:rPr>
              <w:t>przestrzenno-funkcjonalna</w:t>
            </w:r>
          </w:p>
        </w:tc>
        <w:tc>
          <w:tcPr>
            <w:tcW w:w="6373" w:type="dxa"/>
            <w:vAlign w:val="center"/>
          </w:tcPr>
          <w:p w14:paraId="62DA495D" w14:textId="6F0C77C7" w:rsidR="00562DC4" w:rsidRDefault="00562DC4" w:rsidP="005C260F">
            <w:pPr>
              <w:pStyle w:val="Akapitzlist"/>
              <w:numPr>
                <w:ilvl w:val="0"/>
                <w:numId w:val="13"/>
              </w:numPr>
              <w:spacing w:line="312" w:lineRule="auto"/>
              <w:ind w:left="180" w:hanging="225"/>
              <w:jc w:val="both"/>
            </w:pPr>
            <w:r w:rsidRPr="00562DC4">
              <w:t>niewystarczając</w:t>
            </w:r>
            <w:r>
              <w:t>e</w:t>
            </w:r>
            <w:r w:rsidRPr="00562DC4">
              <w:t xml:space="preserve"> wyposażeni</w:t>
            </w:r>
            <w:r>
              <w:t>e</w:t>
            </w:r>
            <w:r w:rsidRPr="00562DC4">
              <w:t xml:space="preserve"> w infrastrukturę techniczną i społeczną lub jej zł</w:t>
            </w:r>
            <w:r>
              <w:t>y</w:t>
            </w:r>
            <w:r w:rsidRPr="00562DC4">
              <w:t xml:space="preserve"> stan techniczn</w:t>
            </w:r>
            <w:r>
              <w:t>y</w:t>
            </w:r>
          </w:p>
          <w:p w14:paraId="737D601A" w14:textId="4C5BFA2A" w:rsidR="00562DC4" w:rsidRDefault="00562DC4" w:rsidP="005C260F">
            <w:pPr>
              <w:pStyle w:val="Akapitzlist"/>
              <w:numPr>
                <w:ilvl w:val="0"/>
                <w:numId w:val="13"/>
              </w:numPr>
              <w:spacing w:line="312" w:lineRule="auto"/>
              <w:ind w:left="180" w:hanging="225"/>
              <w:jc w:val="both"/>
            </w:pPr>
            <w:r w:rsidRPr="00562DC4">
              <w:lastRenderedPageBreak/>
              <w:t>braku dostępu do podstawowych usług lub ich nisk</w:t>
            </w:r>
            <w:r>
              <w:t>a</w:t>
            </w:r>
            <w:r w:rsidRPr="00562DC4">
              <w:t xml:space="preserve"> jakoś</w:t>
            </w:r>
            <w:r>
              <w:t>ć</w:t>
            </w:r>
          </w:p>
          <w:p w14:paraId="3D143D08" w14:textId="7F98F43F" w:rsidR="00562DC4" w:rsidRDefault="00562DC4" w:rsidP="005C260F">
            <w:pPr>
              <w:pStyle w:val="Akapitzlist"/>
              <w:numPr>
                <w:ilvl w:val="0"/>
                <w:numId w:val="13"/>
              </w:numPr>
              <w:spacing w:line="312" w:lineRule="auto"/>
              <w:ind w:left="180" w:hanging="225"/>
              <w:jc w:val="both"/>
            </w:pPr>
            <w:r w:rsidRPr="00562DC4">
              <w:t>niedostosowani</w:t>
            </w:r>
            <w:r>
              <w:t xml:space="preserve">e </w:t>
            </w:r>
            <w:r w:rsidRPr="00562DC4">
              <w:t>rozwiązań urbanistycznych do zmieniających się funkcji obszaru</w:t>
            </w:r>
          </w:p>
          <w:p w14:paraId="6A161CB2" w14:textId="29DF10AC" w:rsidR="00F109BD" w:rsidRDefault="00562DC4" w:rsidP="00F109BD">
            <w:pPr>
              <w:pStyle w:val="Akapitzlist"/>
              <w:numPr>
                <w:ilvl w:val="0"/>
                <w:numId w:val="13"/>
              </w:numPr>
              <w:spacing w:line="312" w:lineRule="auto"/>
              <w:ind w:left="180" w:hanging="225"/>
              <w:jc w:val="both"/>
            </w:pPr>
            <w:r w:rsidRPr="00562DC4">
              <w:t>niedostosowani</w:t>
            </w:r>
            <w:r>
              <w:t>e</w:t>
            </w:r>
            <w:r w:rsidRPr="00562DC4">
              <w:t xml:space="preserve"> infrastruktury do potrzeb osób ze szczególnymi potrzebami</w:t>
            </w:r>
            <w:r w:rsidR="00F109BD">
              <w:t xml:space="preserve"> w zakresie dostępności </w:t>
            </w:r>
          </w:p>
          <w:p w14:paraId="5E52AC61" w14:textId="2D7CAF63" w:rsidR="00F109BD" w:rsidRDefault="00562DC4" w:rsidP="00F109BD">
            <w:pPr>
              <w:pStyle w:val="Akapitzlist"/>
              <w:numPr>
                <w:ilvl w:val="0"/>
                <w:numId w:val="13"/>
              </w:numPr>
              <w:spacing w:line="312" w:lineRule="auto"/>
              <w:ind w:left="180" w:hanging="225"/>
              <w:jc w:val="both"/>
            </w:pPr>
            <w:r w:rsidRPr="00562DC4">
              <w:t>niski poziom obsługi komunikacyjnej</w:t>
            </w:r>
          </w:p>
          <w:p w14:paraId="679EAEED" w14:textId="2361213D" w:rsidR="00982EC1" w:rsidRDefault="00562DC4" w:rsidP="00F109BD">
            <w:pPr>
              <w:pStyle w:val="Akapitzlist"/>
              <w:numPr>
                <w:ilvl w:val="0"/>
                <w:numId w:val="13"/>
              </w:numPr>
              <w:spacing w:line="312" w:lineRule="auto"/>
              <w:ind w:left="180" w:hanging="225"/>
              <w:jc w:val="both"/>
            </w:pPr>
            <w:r w:rsidRPr="00562DC4">
              <w:t>niedob</w:t>
            </w:r>
            <w:r>
              <w:t>ór</w:t>
            </w:r>
            <w:r w:rsidRPr="00562DC4">
              <w:t xml:space="preserve"> lub nisk</w:t>
            </w:r>
            <w:r>
              <w:t xml:space="preserve">a </w:t>
            </w:r>
            <w:r w:rsidRPr="00562DC4">
              <w:t>jakoś</w:t>
            </w:r>
            <w:r>
              <w:t>ć</w:t>
            </w:r>
            <w:r w:rsidRPr="00562DC4">
              <w:t xml:space="preserve"> terenów publicznych</w:t>
            </w:r>
          </w:p>
        </w:tc>
      </w:tr>
      <w:tr w:rsidR="00982EC1" w14:paraId="60E2F3A4" w14:textId="77777777" w:rsidTr="005C260F">
        <w:tc>
          <w:tcPr>
            <w:tcW w:w="2689" w:type="dxa"/>
            <w:vAlign w:val="center"/>
          </w:tcPr>
          <w:p w14:paraId="0248FA10" w14:textId="08C04B2C" w:rsidR="00982EC1" w:rsidRPr="005C260F" w:rsidRDefault="00982EC1" w:rsidP="00C820C1">
            <w:pPr>
              <w:spacing w:line="312" w:lineRule="auto"/>
              <w:jc w:val="center"/>
              <w:rPr>
                <w:b/>
                <w:bCs/>
              </w:rPr>
            </w:pPr>
            <w:r w:rsidRPr="005C260F">
              <w:rPr>
                <w:b/>
                <w:bCs/>
              </w:rPr>
              <w:lastRenderedPageBreak/>
              <w:t>techniczna</w:t>
            </w:r>
          </w:p>
        </w:tc>
        <w:tc>
          <w:tcPr>
            <w:tcW w:w="6373" w:type="dxa"/>
            <w:vAlign w:val="center"/>
          </w:tcPr>
          <w:p w14:paraId="3C696204" w14:textId="0E84FFB5" w:rsidR="005C260F" w:rsidRDefault="005C260F" w:rsidP="005C260F">
            <w:pPr>
              <w:pStyle w:val="Akapitzlist"/>
              <w:numPr>
                <w:ilvl w:val="0"/>
                <w:numId w:val="13"/>
              </w:numPr>
              <w:spacing w:line="312" w:lineRule="auto"/>
              <w:ind w:left="180" w:hanging="225"/>
              <w:jc w:val="both"/>
            </w:pPr>
            <w:r w:rsidRPr="005C260F">
              <w:t>degradacj</w:t>
            </w:r>
            <w:r>
              <w:t>a</w:t>
            </w:r>
            <w:r w:rsidRPr="005C260F">
              <w:t xml:space="preserve"> stanu technicznego obiektów budowlanych, w tym o przeznaczeniu mieszkaniowym</w:t>
            </w:r>
          </w:p>
          <w:p w14:paraId="44ADF6D4" w14:textId="1F52890A" w:rsidR="00982EC1" w:rsidRDefault="005C260F" w:rsidP="005C260F">
            <w:pPr>
              <w:pStyle w:val="Akapitzlist"/>
              <w:numPr>
                <w:ilvl w:val="0"/>
                <w:numId w:val="13"/>
              </w:numPr>
              <w:spacing w:line="312" w:lineRule="auto"/>
              <w:ind w:left="180" w:hanging="225"/>
              <w:jc w:val="both"/>
            </w:pPr>
            <w:r w:rsidRPr="005C260F">
              <w:t>niefunkcjonowani</w:t>
            </w:r>
            <w:r>
              <w:t>e</w:t>
            </w:r>
            <w:r w:rsidRPr="005C260F">
              <w:t xml:space="preserve"> rozwiązań technicznych umożliwiających efektywne korzystanie z obiektów budowlanych, w szczególności w zakresie energooszczędności, ochrony środowiska i zapewniania dostępności osobom ze szczególnymi potrzebami</w:t>
            </w:r>
          </w:p>
        </w:tc>
      </w:tr>
    </w:tbl>
    <w:p w14:paraId="1B4CC7B5" w14:textId="223541C0" w:rsidR="001351E3" w:rsidRPr="00CB1AF2" w:rsidRDefault="00CB1AF2" w:rsidP="00CC4D2C">
      <w:pPr>
        <w:spacing w:line="312" w:lineRule="auto"/>
        <w:jc w:val="both"/>
        <w:rPr>
          <w:sz w:val="20"/>
          <w:szCs w:val="20"/>
        </w:rPr>
      </w:pPr>
      <w:r w:rsidRPr="00CB1AF2">
        <w:rPr>
          <w:sz w:val="20"/>
          <w:szCs w:val="20"/>
        </w:rPr>
        <w:t xml:space="preserve">Źródło: opracowanie własne na podstawie </w:t>
      </w:r>
      <w:r w:rsidR="003B0C27">
        <w:rPr>
          <w:sz w:val="20"/>
          <w:szCs w:val="20"/>
        </w:rPr>
        <w:t xml:space="preserve">art. 9 ust. 1 </w:t>
      </w:r>
      <w:r w:rsidRPr="00CB1AF2">
        <w:rPr>
          <w:sz w:val="20"/>
          <w:szCs w:val="20"/>
        </w:rPr>
        <w:t>ustawy o rewitalizacji</w:t>
      </w:r>
    </w:p>
    <w:p w14:paraId="22CE3555" w14:textId="58EFEAC6" w:rsidR="00FA7F7B" w:rsidRDefault="00044AB7" w:rsidP="00CC4D2C">
      <w:pPr>
        <w:spacing w:line="312" w:lineRule="auto"/>
        <w:jc w:val="both"/>
      </w:pPr>
      <w:r>
        <w:t xml:space="preserve">Oprócz </w:t>
      </w:r>
      <w:r w:rsidR="00C80E34">
        <w:t xml:space="preserve">wskaźników opartych na </w:t>
      </w:r>
      <w:r>
        <w:t>zjawisk</w:t>
      </w:r>
      <w:r w:rsidR="00C80E34">
        <w:t>ach</w:t>
      </w:r>
      <w:r>
        <w:t xml:space="preserve"> wskazanych w ustawie o rewitalizacji można również </w:t>
      </w:r>
      <w:r w:rsidR="00FA7F7B">
        <w:t xml:space="preserve">w diagnozie </w:t>
      </w:r>
      <w:r>
        <w:t>zastosować wskaźniki specyficzne, czyli takie, któr</w:t>
      </w:r>
      <w:r w:rsidR="0000605F">
        <w:t xml:space="preserve">ych </w:t>
      </w:r>
      <w:r w:rsidR="00C80E34">
        <w:t xml:space="preserve">celem będzie zwrócenie uwagi na problem </w:t>
      </w:r>
      <w:r w:rsidR="0000605F">
        <w:t xml:space="preserve">szczególny, </w:t>
      </w:r>
      <w:r w:rsidR="00C80E34">
        <w:t>charakterystyczny dla danej gminy.</w:t>
      </w:r>
    </w:p>
    <w:p w14:paraId="49EE39E3" w14:textId="574136C9" w:rsidR="00FA7F7B" w:rsidRDefault="00FA7F7B" w:rsidP="00FA7F7B">
      <w:pPr>
        <w:spacing w:line="312" w:lineRule="auto"/>
        <w:jc w:val="both"/>
        <w:rPr>
          <w:b/>
          <w:bCs/>
        </w:rPr>
      </w:pPr>
      <w:r>
        <w:rPr>
          <w:b/>
          <w:bCs/>
        </w:rPr>
        <w:t xml:space="preserve">Jak jest różnica między </w:t>
      </w:r>
      <w:r w:rsidRPr="007C7947">
        <w:rPr>
          <w:b/>
          <w:bCs/>
        </w:rPr>
        <w:t>obszar</w:t>
      </w:r>
      <w:r>
        <w:rPr>
          <w:b/>
          <w:bCs/>
        </w:rPr>
        <w:t xml:space="preserve">em </w:t>
      </w:r>
      <w:r w:rsidRPr="007C7947">
        <w:rPr>
          <w:b/>
          <w:bCs/>
        </w:rPr>
        <w:t>zdegradowan</w:t>
      </w:r>
      <w:r>
        <w:rPr>
          <w:b/>
          <w:bCs/>
        </w:rPr>
        <w:t>ym a obszarem rewitalizacji</w:t>
      </w:r>
      <w:r w:rsidRPr="007C7947">
        <w:rPr>
          <w:b/>
          <w:bCs/>
        </w:rPr>
        <w:t>?</w:t>
      </w:r>
    </w:p>
    <w:p w14:paraId="5AFA2870" w14:textId="21E0642B" w:rsidR="00FA7F7B" w:rsidRPr="00CB3EE3" w:rsidRDefault="00FA7F7B" w:rsidP="00CC4D2C">
      <w:pPr>
        <w:spacing w:line="312" w:lineRule="auto"/>
        <w:jc w:val="both"/>
        <w:rPr>
          <w:bCs/>
        </w:rPr>
      </w:pPr>
      <w:r w:rsidRPr="00FA7F7B">
        <w:rPr>
          <w:bCs/>
        </w:rPr>
        <w:t>Ustawa wskazuje, ż</w:t>
      </w:r>
      <w:r w:rsidR="00CB3EE3">
        <w:rPr>
          <w:bCs/>
        </w:rPr>
        <w:t>e</w:t>
      </w:r>
      <w:r w:rsidRPr="00FA7F7B">
        <w:rPr>
          <w:bCs/>
        </w:rPr>
        <w:t xml:space="preserve"> </w:t>
      </w:r>
      <w:r w:rsidR="006169A7">
        <w:rPr>
          <w:bCs/>
        </w:rPr>
        <w:t xml:space="preserve">obszar rewitalizacji </w:t>
      </w:r>
      <w:r w:rsidR="00CB3EE3">
        <w:rPr>
          <w:bCs/>
        </w:rPr>
        <w:t xml:space="preserve">jest </w:t>
      </w:r>
      <w:r w:rsidR="00B15C88" w:rsidRPr="00E4771A">
        <w:rPr>
          <w:bCs/>
        </w:rPr>
        <w:t>wyłaniany</w:t>
      </w:r>
      <w:r w:rsidR="00CB3EE3" w:rsidRPr="00E4771A">
        <w:rPr>
          <w:bCs/>
        </w:rPr>
        <w:t xml:space="preserve"> z</w:t>
      </w:r>
      <w:r w:rsidR="00B15C88" w:rsidRPr="00E4771A">
        <w:rPr>
          <w:bCs/>
        </w:rPr>
        <w:t xml:space="preserve"> obszaru</w:t>
      </w:r>
      <w:r w:rsidR="00B15C88">
        <w:rPr>
          <w:bCs/>
        </w:rPr>
        <w:t xml:space="preserve"> zdegradowanego. Nie można więc włączyć w jego granice terenu, który nie został objęty granicami obszaru zdegradowanego. </w:t>
      </w:r>
      <w:r w:rsidR="00B07A8E">
        <w:rPr>
          <w:bCs/>
        </w:rPr>
        <w:t xml:space="preserve">W </w:t>
      </w:r>
      <w:r w:rsidR="00CB3EE3">
        <w:rPr>
          <w:bCs/>
        </w:rPr>
        <w:t>przypadku</w:t>
      </w:r>
      <w:r w:rsidR="00B07A8E">
        <w:rPr>
          <w:bCs/>
        </w:rPr>
        <w:t xml:space="preserve"> rozległego obszaru zdegradowanego </w:t>
      </w:r>
      <w:r w:rsidR="00CB3EE3">
        <w:rPr>
          <w:bCs/>
        </w:rPr>
        <w:t>na</w:t>
      </w:r>
      <w:r w:rsidR="00B07A8E">
        <w:rPr>
          <w:bCs/>
        </w:rPr>
        <w:t xml:space="preserve"> obszar rewitalizacji </w:t>
      </w:r>
      <w:r w:rsidR="00CB3EE3">
        <w:rPr>
          <w:bCs/>
        </w:rPr>
        <w:t xml:space="preserve">wyznacza </w:t>
      </w:r>
      <w:r w:rsidR="00E4771A">
        <w:rPr>
          <w:bCs/>
        </w:rPr>
        <w:t>się tylko</w:t>
      </w:r>
      <w:r w:rsidR="00B07A8E">
        <w:rPr>
          <w:bCs/>
        </w:rPr>
        <w:t xml:space="preserve"> jego fragment, charakteryzujący się </w:t>
      </w:r>
      <w:r w:rsidR="006169A7" w:rsidRPr="006169A7">
        <w:rPr>
          <w:bCs/>
        </w:rPr>
        <w:t>szczególną ko</w:t>
      </w:r>
      <w:r w:rsidR="00B07A8E">
        <w:rPr>
          <w:bCs/>
        </w:rPr>
        <w:t xml:space="preserve">ncentracją negatywnych zjawisk </w:t>
      </w:r>
      <w:r w:rsidR="00CB3EE3">
        <w:rPr>
          <w:bCs/>
        </w:rPr>
        <w:t>i wagą dla</w:t>
      </w:r>
      <w:r w:rsidR="00B07A8E">
        <w:rPr>
          <w:bCs/>
        </w:rPr>
        <w:t xml:space="preserve"> rozwoju lokalnego. Na obszar rewitalizacji ustawa nakłada kryteria formalne dotyczące jego maksymalnej wielkości – teren ten ni</w:t>
      </w:r>
      <w:r w:rsidR="00CB3EE3">
        <w:rPr>
          <w:bCs/>
        </w:rPr>
        <w:t>e</w:t>
      </w:r>
      <w:r w:rsidR="00B07A8E">
        <w:rPr>
          <w:bCs/>
        </w:rPr>
        <w:t xml:space="preserve"> może być większy niż 20% powierzchni gminy i zamieszkany przez nie więcej niż 30% </w:t>
      </w:r>
      <w:r w:rsidR="00CB3EE3">
        <w:rPr>
          <w:bCs/>
        </w:rPr>
        <w:t xml:space="preserve">jej </w:t>
      </w:r>
      <w:r w:rsidR="00B07A8E">
        <w:rPr>
          <w:bCs/>
        </w:rPr>
        <w:t>populacj</w:t>
      </w:r>
      <w:r w:rsidR="00CB3EE3">
        <w:rPr>
          <w:bCs/>
        </w:rPr>
        <w:t>i</w:t>
      </w:r>
      <w:r w:rsidR="00B07A8E">
        <w:rPr>
          <w:bCs/>
        </w:rPr>
        <w:t xml:space="preserve">. </w:t>
      </w:r>
      <w:r w:rsidR="003772A4">
        <w:rPr>
          <w:bCs/>
        </w:rPr>
        <w:t xml:space="preserve">Kryteria te umożliwiają koncentrację interwencji rewitalizacyjnej na najbardziej istotnym pod względem skali problemów i liczby potencjałów wewnętrznych fragmencie gminy. </w:t>
      </w:r>
    </w:p>
    <w:p w14:paraId="2D4D4783" w14:textId="0AA9F009" w:rsidR="00BE430E" w:rsidRDefault="008A27A8" w:rsidP="00CC4D2C">
      <w:pPr>
        <w:spacing w:line="312" w:lineRule="auto"/>
        <w:jc w:val="both"/>
        <w:rPr>
          <w:b/>
          <w:bCs/>
        </w:rPr>
      </w:pPr>
      <w:r>
        <w:rPr>
          <w:b/>
          <w:bCs/>
        </w:rPr>
        <w:t>O</w:t>
      </w:r>
      <w:r w:rsidR="00BE430E">
        <w:rPr>
          <w:b/>
          <w:bCs/>
        </w:rPr>
        <w:t>bszar</w:t>
      </w:r>
      <w:r>
        <w:rPr>
          <w:b/>
          <w:bCs/>
        </w:rPr>
        <w:t>y</w:t>
      </w:r>
      <w:r w:rsidR="00BE430E">
        <w:rPr>
          <w:b/>
          <w:bCs/>
        </w:rPr>
        <w:t xml:space="preserve"> zdegradowane</w:t>
      </w:r>
      <w:r>
        <w:rPr>
          <w:b/>
          <w:bCs/>
        </w:rPr>
        <w:t xml:space="preserve"> </w:t>
      </w:r>
      <w:r w:rsidR="00BE430E">
        <w:rPr>
          <w:b/>
          <w:bCs/>
        </w:rPr>
        <w:t>w województwie podkarpackim</w:t>
      </w:r>
    </w:p>
    <w:p w14:paraId="1B5F4D6E" w14:textId="52F9D1A2" w:rsidR="008F29E8" w:rsidRDefault="008A27A8" w:rsidP="00CC4D2C">
      <w:pPr>
        <w:spacing w:line="312" w:lineRule="auto"/>
        <w:jc w:val="both"/>
      </w:pPr>
      <w:r>
        <w:t>Intencją wyznaczania obszaru zdegradowanego jest wskazanie</w:t>
      </w:r>
      <w:r w:rsidR="00A8717D">
        <w:t xml:space="preserve"> t</w:t>
      </w:r>
      <w:r w:rsidR="005E769B">
        <w:t>akich</w:t>
      </w:r>
      <w:r w:rsidR="00A8717D">
        <w:t xml:space="preserve"> terenów w gminie, które wymagają </w:t>
      </w:r>
      <w:r w:rsidR="00AE6CC9">
        <w:t xml:space="preserve">zintegrowanej </w:t>
      </w:r>
      <w:r w:rsidR="00A8717D">
        <w:t xml:space="preserve">interwencji. Aby umożliwić </w:t>
      </w:r>
      <w:r w:rsidR="00D77D88">
        <w:t>koncentrację</w:t>
      </w:r>
      <w:r w:rsidR="00A8717D">
        <w:t xml:space="preserve"> działań na wskazanych obszarach</w:t>
      </w:r>
      <w:r w:rsidR="005E769B">
        <w:t>,</w:t>
      </w:r>
      <w:r w:rsidR="00A8717D">
        <w:t xml:space="preserve"> wprowadzono limity powierzchni </w:t>
      </w:r>
      <w:r w:rsidR="005E769B">
        <w:t>i</w:t>
      </w:r>
      <w:r w:rsidR="00A8717D">
        <w:t xml:space="preserve"> liczby ludności zamieszkującej </w:t>
      </w:r>
      <w:r w:rsidR="00D77D88">
        <w:t>tereny poddawane rewitalizacji</w:t>
      </w:r>
      <w:r w:rsidR="00A8717D">
        <w:t>.</w:t>
      </w:r>
    </w:p>
    <w:p w14:paraId="4B579E29" w14:textId="154E4265" w:rsidR="000E4FAB" w:rsidRDefault="00D77D88" w:rsidP="00CC4D2C">
      <w:pPr>
        <w:spacing w:line="312" w:lineRule="auto"/>
        <w:jc w:val="both"/>
      </w:pPr>
      <w:r>
        <w:t>Z danych GUS</w:t>
      </w:r>
      <w:r w:rsidR="00971E62">
        <w:rPr>
          <w:rStyle w:val="Odwoanieprzypisudolnego"/>
        </w:rPr>
        <w:footnoteReference w:id="3"/>
      </w:r>
      <w:r>
        <w:t xml:space="preserve"> wynika, ż</w:t>
      </w:r>
      <w:r w:rsidR="005E769B">
        <w:t>e</w:t>
      </w:r>
      <w:r>
        <w:t xml:space="preserve"> łączna powierzchnia obszarów zdegradowanych wyznaczonych w gminach </w:t>
      </w:r>
      <w:r w:rsidR="005B1994">
        <w:t xml:space="preserve">podkarpackich </w:t>
      </w:r>
      <w:r>
        <w:t xml:space="preserve">wynosi </w:t>
      </w:r>
      <w:r w:rsidRPr="005B1994">
        <w:rPr>
          <w:b/>
        </w:rPr>
        <w:t>291 652 ha</w:t>
      </w:r>
      <w:r w:rsidR="005B1994" w:rsidRPr="005B1994">
        <w:t xml:space="preserve">, co stanowi </w:t>
      </w:r>
      <w:r w:rsidR="005B1994" w:rsidRPr="005B1994">
        <w:rPr>
          <w:b/>
        </w:rPr>
        <w:t>16,34%</w:t>
      </w:r>
      <w:r w:rsidR="005B1994" w:rsidRPr="005B1994">
        <w:t xml:space="preserve"> powierzchni całego województwa. </w:t>
      </w:r>
      <w:r w:rsidR="005B1994">
        <w:t xml:space="preserve">Natomiast łączna </w:t>
      </w:r>
      <w:r w:rsidR="00971E62">
        <w:t>powierzchnia</w:t>
      </w:r>
      <w:r w:rsidR="005B1994">
        <w:t xml:space="preserve"> obszarów </w:t>
      </w:r>
      <w:r w:rsidR="00971E62">
        <w:t>rewitalizacji</w:t>
      </w:r>
      <w:r w:rsidR="005B1994">
        <w:t xml:space="preserve"> wyniosła zaledwie </w:t>
      </w:r>
      <w:r w:rsidR="005B1994" w:rsidRPr="00971E62">
        <w:rPr>
          <w:b/>
        </w:rPr>
        <w:t>69 614 ha</w:t>
      </w:r>
      <w:r w:rsidR="00971E62" w:rsidRPr="00971E62">
        <w:t xml:space="preserve">. </w:t>
      </w:r>
      <w:r w:rsidR="00971E62">
        <w:t>Oznacza to, ż</w:t>
      </w:r>
      <w:r w:rsidR="005E769B">
        <w:t>e</w:t>
      </w:r>
      <w:r w:rsidR="00971E62">
        <w:t xml:space="preserve"> tylko </w:t>
      </w:r>
      <w:r w:rsidR="00B20CAB">
        <w:t>ok</w:t>
      </w:r>
      <w:r w:rsidR="005E769B">
        <w:t>oło</w:t>
      </w:r>
      <w:r w:rsidR="00B20CAB">
        <w:t xml:space="preserve"> </w:t>
      </w:r>
      <w:r w:rsidR="00B37559" w:rsidRPr="00B20CAB">
        <w:rPr>
          <w:b/>
        </w:rPr>
        <w:t>24%</w:t>
      </w:r>
      <w:r w:rsidR="00B37559">
        <w:t xml:space="preserve"> powierzchni obszarów zdegradowanych zostało objętych procesami rewitalizacji</w:t>
      </w:r>
      <w:r w:rsidR="00B20CAB">
        <w:t xml:space="preserve"> w gminach podkarpackich</w:t>
      </w:r>
      <w:r w:rsidR="00B37559">
        <w:t xml:space="preserve">. </w:t>
      </w:r>
      <w:r w:rsidR="00756F5D">
        <w:t xml:space="preserve">Wskazuje to z jednej strony na występowanie rozległych obszarów zdegradowanych </w:t>
      </w:r>
      <w:r w:rsidR="00756F5D">
        <w:lastRenderedPageBreak/>
        <w:t xml:space="preserve">wymagających wsparcia, z drugiej zaś strony </w:t>
      </w:r>
      <w:r w:rsidR="000E4FAB">
        <w:t xml:space="preserve">może </w:t>
      </w:r>
      <w:r w:rsidR="005E769B">
        <w:t xml:space="preserve">też </w:t>
      </w:r>
      <w:r w:rsidR="000E4FAB">
        <w:t xml:space="preserve">świadczyć o problemach, z jakimi mierzyły się gminy na etapie precyzyjnego wskazywania obszarów rewitalizacji. </w:t>
      </w:r>
    </w:p>
    <w:p w14:paraId="3AFF3A99" w14:textId="342735EB" w:rsidR="0006715D" w:rsidRDefault="00AF502C" w:rsidP="00CC4D2C">
      <w:pPr>
        <w:spacing w:line="312" w:lineRule="auto"/>
        <w:jc w:val="both"/>
      </w:pPr>
      <w:r>
        <w:t>Poniżej przedstawiono szczegółową statystykę dotyczącą obszarów zdegradowanych i obszarów rewitalizacji funkcjonujących w województwie podkarpackim.</w:t>
      </w:r>
    </w:p>
    <w:p w14:paraId="49597112" w14:textId="1774C481" w:rsidR="007C34AC" w:rsidRPr="0044016A" w:rsidRDefault="0044016A" w:rsidP="0044016A">
      <w:pPr>
        <w:pStyle w:val="Legenda"/>
        <w:spacing w:after="0"/>
        <w:rPr>
          <w:i w:val="0"/>
          <w:iCs w:val="0"/>
          <w:color w:val="auto"/>
          <w:sz w:val="20"/>
          <w:szCs w:val="20"/>
        </w:rPr>
      </w:pPr>
      <w:r w:rsidRPr="0044016A">
        <w:rPr>
          <w:i w:val="0"/>
          <w:iCs w:val="0"/>
          <w:color w:val="auto"/>
          <w:sz w:val="20"/>
          <w:szCs w:val="20"/>
        </w:rPr>
        <w:t xml:space="preserve">Tabela </w:t>
      </w:r>
      <w:r w:rsidR="00AF502C">
        <w:rPr>
          <w:i w:val="0"/>
          <w:iCs w:val="0"/>
          <w:color w:val="auto"/>
          <w:sz w:val="20"/>
          <w:szCs w:val="20"/>
        </w:rPr>
        <w:t>2</w:t>
      </w:r>
      <w:r w:rsidRPr="0044016A">
        <w:rPr>
          <w:i w:val="0"/>
          <w:iCs w:val="0"/>
          <w:color w:val="auto"/>
          <w:sz w:val="20"/>
          <w:szCs w:val="20"/>
        </w:rPr>
        <w:t>. Powierzchnia obszarów zdegradowanych i obszarów rewitalizacji w województwie podkarpackim</w:t>
      </w:r>
      <w:r w:rsidR="00247837">
        <w:rPr>
          <w:i w:val="0"/>
          <w:iCs w:val="0"/>
          <w:color w:val="auto"/>
          <w:sz w:val="20"/>
          <w:szCs w:val="20"/>
        </w:rPr>
        <w:t xml:space="preserve"> wg typów gmin</w:t>
      </w:r>
    </w:p>
    <w:tbl>
      <w:tblPr>
        <w:tblStyle w:val="Tabela-Siatka"/>
        <w:tblW w:w="9067" w:type="dxa"/>
        <w:tblLook w:val="04A0" w:firstRow="1" w:lastRow="0" w:firstColumn="1" w:lastColumn="0" w:noHBand="0" w:noVBand="1"/>
      </w:tblPr>
      <w:tblGrid>
        <w:gridCol w:w="2122"/>
        <w:gridCol w:w="2268"/>
        <w:gridCol w:w="2268"/>
        <w:gridCol w:w="2409"/>
      </w:tblGrid>
      <w:tr w:rsidR="0044016A" w:rsidRPr="0044016A" w14:paraId="4FD3B84F" w14:textId="77777777" w:rsidTr="00247837">
        <w:tc>
          <w:tcPr>
            <w:tcW w:w="2122" w:type="dxa"/>
            <w:vAlign w:val="center"/>
          </w:tcPr>
          <w:p w14:paraId="297C9F0D" w14:textId="68ED916F" w:rsidR="0044016A" w:rsidRPr="0044016A" w:rsidRDefault="0044016A" w:rsidP="00247837">
            <w:pPr>
              <w:jc w:val="center"/>
              <w:rPr>
                <w:b/>
                <w:bCs/>
                <w:sz w:val="20"/>
                <w:szCs w:val="20"/>
              </w:rPr>
            </w:pPr>
            <w:r w:rsidRPr="0044016A">
              <w:rPr>
                <w:b/>
                <w:bCs/>
                <w:sz w:val="20"/>
                <w:szCs w:val="20"/>
              </w:rPr>
              <w:t>Typ gminy</w:t>
            </w:r>
          </w:p>
        </w:tc>
        <w:tc>
          <w:tcPr>
            <w:tcW w:w="2268" w:type="dxa"/>
            <w:vAlign w:val="center"/>
          </w:tcPr>
          <w:p w14:paraId="2CEE8EF7" w14:textId="706E91D5" w:rsidR="0044016A" w:rsidRPr="0044016A" w:rsidRDefault="0044016A" w:rsidP="00247837">
            <w:pPr>
              <w:jc w:val="center"/>
              <w:rPr>
                <w:b/>
                <w:bCs/>
                <w:sz w:val="20"/>
                <w:szCs w:val="20"/>
              </w:rPr>
            </w:pPr>
            <w:r w:rsidRPr="0044016A">
              <w:rPr>
                <w:b/>
                <w:bCs/>
                <w:sz w:val="20"/>
                <w:szCs w:val="20"/>
              </w:rPr>
              <w:t>Powierzchnia obszaru zdegradowanego na terenie gminy</w:t>
            </w:r>
          </w:p>
        </w:tc>
        <w:tc>
          <w:tcPr>
            <w:tcW w:w="2268" w:type="dxa"/>
            <w:vAlign w:val="center"/>
          </w:tcPr>
          <w:p w14:paraId="56EF5A05" w14:textId="5C8DC533" w:rsidR="0044016A" w:rsidRPr="0044016A" w:rsidRDefault="0044016A" w:rsidP="00247837">
            <w:pPr>
              <w:jc w:val="center"/>
              <w:rPr>
                <w:b/>
                <w:bCs/>
                <w:sz w:val="20"/>
                <w:szCs w:val="20"/>
              </w:rPr>
            </w:pPr>
            <w:r w:rsidRPr="0044016A">
              <w:rPr>
                <w:b/>
                <w:bCs/>
                <w:sz w:val="20"/>
                <w:szCs w:val="20"/>
              </w:rPr>
              <w:t>Powierzchnia obszaru rewitalizacji na terenie gminy</w:t>
            </w:r>
          </w:p>
        </w:tc>
        <w:tc>
          <w:tcPr>
            <w:tcW w:w="2409" w:type="dxa"/>
            <w:vAlign w:val="center"/>
          </w:tcPr>
          <w:p w14:paraId="375D45D0" w14:textId="569F48E8" w:rsidR="0044016A" w:rsidRPr="0044016A" w:rsidRDefault="0044016A" w:rsidP="00247837">
            <w:pPr>
              <w:jc w:val="center"/>
              <w:rPr>
                <w:b/>
                <w:bCs/>
                <w:sz w:val="20"/>
                <w:szCs w:val="20"/>
              </w:rPr>
            </w:pPr>
            <w:r w:rsidRPr="0044016A">
              <w:rPr>
                <w:b/>
                <w:bCs/>
                <w:sz w:val="20"/>
                <w:szCs w:val="20"/>
              </w:rPr>
              <w:t>Udział powierzchni obszaru rewitalizacji w powierzchni obszaru zdegradowanego</w:t>
            </w:r>
          </w:p>
        </w:tc>
      </w:tr>
      <w:tr w:rsidR="00F5359E" w:rsidRPr="0044016A" w14:paraId="30A714DA" w14:textId="77777777" w:rsidTr="0044016A">
        <w:tc>
          <w:tcPr>
            <w:tcW w:w="2122" w:type="dxa"/>
            <w:vAlign w:val="center"/>
          </w:tcPr>
          <w:p w14:paraId="08528612" w14:textId="5A7A81EA" w:rsidR="00F5359E" w:rsidRPr="0044016A" w:rsidRDefault="00F5359E" w:rsidP="00F5359E">
            <w:pPr>
              <w:rPr>
                <w:sz w:val="20"/>
                <w:szCs w:val="20"/>
              </w:rPr>
            </w:pPr>
            <w:r>
              <w:rPr>
                <w:sz w:val="20"/>
                <w:szCs w:val="20"/>
              </w:rPr>
              <w:t>gminy miejskie</w:t>
            </w:r>
          </w:p>
        </w:tc>
        <w:tc>
          <w:tcPr>
            <w:tcW w:w="2268" w:type="dxa"/>
            <w:vAlign w:val="center"/>
          </w:tcPr>
          <w:p w14:paraId="60EE0C12" w14:textId="51FAFC27" w:rsidR="00F5359E" w:rsidRPr="0044016A" w:rsidRDefault="00F5359E" w:rsidP="0063720E">
            <w:pPr>
              <w:jc w:val="center"/>
              <w:rPr>
                <w:sz w:val="20"/>
                <w:szCs w:val="20"/>
              </w:rPr>
            </w:pPr>
            <w:r>
              <w:rPr>
                <w:sz w:val="20"/>
                <w:szCs w:val="20"/>
              </w:rPr>
              <w:t>10 453</w:t>
            </w:r>
          </w:p>
        </w:tc>
        <w:tc>
          <w:tcPr>
            <w:tcW w:w="2268" w:type="dxa"/>
            <w:vAlign w:val="center"/>
          </w:tcPr>
          <w:p w14:paraId="2751FCD6" w14:textId="11BF700F" w:rsidR="00F5359E" w:rsidRPr="0044016A" w:rsidRDefault="0063720E" w:rsidP="0063720E">
            <w:pPr>
              <w:jc w:val="center"/>
              <w:rPr>
                <w:sz w:val="20"/>
                <w:szCs w:val="20"/>
              </w:rPr>
            </w:pPr>
            <w:r>
              <w:rPr>
                <w:sz w:val="20"/>
                <w:szCs w:val="20"/>
              </w:rPr>
              <w:t>5390</w:t>
            </w:r>
          </w:p>
        </w:tc>
        <w:tc>
          <w:tcPr>
            <w:tcW w:w="2409" w:type="dxa"/>
            <w:vAlign w:val="center"/>
          </w:tcPr>
          <w:p w14:paraId="0F5D5F9C" w14:textId="6D0F101A" w:rsidR="00F5359E" w:rsidRPr="0044016A" w:rsidRDefault="0063720E" w:rsidP="0063720E">
            <w:pPr>
              <w:jc w:val="center"/>
              <w:rPr>
                <w:sz w:val="20"/>
                <w:szCs w:val="20"/>
              </w:rPr>
            </w:pPr>
            <w:r>
              <w:rPr>
                <w:sz w:val="20"/>
                <w:szCs w:val="20"/>
              </w:rPr>
              <w:t>51,56%</w:t>
            </w:r>
          </w:p>
        </w:tc>
      </w:tr>
      <w:tr w:rsidR="00F5359E" w:rsidRPr="0044016A" w14:paraId="1E6671D4" w14:textId="77777777" w:rsidTr="0044016A">
        <w:tc>
          <w:tcPr>
            <w:tcW w:w="2122" w:type="dxa"/>
            <w:vAlign w:val="center"/>
          </w:tcPr>
          <w:p w14:paraId="14D7B8A1" w14:textId="200B07CF" w:rsidR="00F5359E" w:rsidRPr="0044016A" w:rsidRDefault="00F5359E" w:rsidP="00F5359E">
            <w:pPr>
              <w:rPr>
                <w:sz w:val="20"/>
                <w:szCs w:val="20"/>
              </w:rPr>
            </w:pPr>
            <w:r>
              <w:rPr>
                <w:sz w:val="20"/>
                <w:szCs w:val="20"/>
              </w:rPr>
              <w:t>w tym miasta na prawach powiatu</w:t>
            </w:r>
          </w:p>
        </w:tc>
        <w:tc>
          <w:tcPr>
            <w:tcW w:w="2268" w:type="dxa"/>
            <w:vAlign w:val="center"/>
          </w:tcPr>
          <w:p w14:paraId="32D2AC44" w14:textId="63D5D61D" w:rsidR="00F5359E" w:rsidRPr="0044016A" w:rsidRDefault="00F5359E" w:rsidP="0063720E">
            <w:pPr>
              <w:jc w:val="center"/>
              <w:rPr>
                <w:sz w:val="20"/>
                <w:szCs w:val="20"/>
              </w:rPr>
            </w:pPr>
            <w:r>
              <w:rPr>
                <w:sz w:val="20"/>
                <w:szCs w:val="20"/>
              </w:rPr>
              <w:t>5124</w:t>
            </w:r>
          </w:p>
        </w:tc>
        <w:tc>
          <w:tcPr>
            <w:tcW w:w="2268" w:type="dxa"/>
            <w:vAlign w:val="center"/>
          </w:tcPr>
          <w:p w14:paraId="572773E2" w14:textId="5594AAE4" w:rsidR="00F5359E" w:rsidRPr="0044016A" w:rsidRDefault="0063720E" w:rsidP="0063720E">
            <w:pPr>
              <w:jc w:val="center"/>
              <w:rPr>
                <w:sz w:val="20"/>
                <w:szCs w:val="20"/>
              </w:rPr>
            </w:pPr>
            <w:r>
              <w:rPr>
                <w:sz w:val="20"/>
                <w:szCs w:val="20"/>
              </w:rPr>
              <w:t>2567</w:t>
            </w:r>
          </w:p>
        </w:tc>
        <w:tc>
          <w:tcPr>
            <w:tcW w:w="2409" w:type="dxa"/>
            <w:vAlign w:val="center"/>
          </w:tcPr>
          <w:p w14:paraId="1F95945F" w14:textId="1E1EC0EE" w:rsidR="00F5359E" w:rsidRPr="0044016A" w:rsidRDefault="0063720E" w:rsidP="0063720E">
            <w:pPr>
              <w:jc w:val="center"/>
              <w:rPr>
                <w:sz w:val="20"/>
                <w:szCs w:val="20"/>
              </w:rPr>
            </w:pPr>
            <w:r>
              <w:rPr>
                <w:sz w:val="20"/>
                <w:szCs w:val="20"/>
              </w:rPr>
              <w:t>50,10%</w:t>
            </w:r>
          </w:p>
        </w:tc>
      </w:tr>
      <w:tr w:rsidR="00F5359E" w:rsidRPr="0044016A" w14:paraId="76BCAC2B" w14:textId="77777777" w:rsidTr="0044016A">
        <w:tc>
          <w:tcPr>
            <w:tcW w:w="2122" w:type="dxa"/>
            <w:vAlign w:val="center"/>
          </w:tcPr>
          <w:p w14:paraId="5B29984C" w14:textId="3BB59278" w:rsidR="00F5359E" w:rsidRPr="0044016A" w:rsidRDefault="00F5359E" w:rsidP="00F5359E">
            <w:pPr>
              <w:rPr>
                <w:sz w:val="20"/>
                <w:szCs w:val="20"/>
              </w:rPr>
            </w:pPr>
            <w:r>
              <w:rPr>
                <w:sz w:val="20"/>
                <w:szCs w:val="20"/>
              </w:rPr>
              <w:t>gminy miejsko-wiejskie</w:t>
            </w:r>
          </w:p>
        </w:tc>
        <w:tc>
          <w:tcPr>
            <w:tcW w:w="2268" w:type="dxa"/>
            <w:vAlign w:val="center"/>
          </w:tcPr>
          <w:p w14:paraId="65C483FC" w14:textId="6DB715DC" w:rsidR="00F5359E" w:rsidRPr="0044016A" w:rsidRDefault="00F5359E" w:rsidP="0063720E">
            <w:pPr>
              <w:jc w:val="center"/>
              <w:rPr>
                <w:sz w:val="20"/>
                <w:szCs w:val="20"/>
              </w:rPr>
            </w:pPr>
            <w:r>
              <w:rPr>
                <w:sz w:val="20"/>
                <w:szCs w:val="20"/>
              </w:rPr>
              <w:t>130 933</w:t>
            </w:r>
          </w:p>
        </w:tc>
        <w:tc>
          <w:tcPr>
            <w:tcW w:w="2268" w:type="dxa"/>
            <w:vAlign w:val="center"/>
          </w:tcPr>
          <w:p w14:paraId="3F08355C" w14:textId="4BFEC456" w:rsidR="00F5359E" w:rsidRPr="0044016A" w:rsidRDefault="0063720E" w:rsidP="0063720E">
            <w:pPr>
              <w:jc w:val="center"/>
              <w:rPr>
                <w:sz w:val="20"/>
                <w:szCs w:val="20"/>
              </w:rPr>
            </w:pPr>
            <w:r>
              <w:rPr>
                <w:sz w:val="20"/>
                <w:szCs w:val="20"/>
              </w:rPr>
              <w:t>28 591</w:t>
            </w:r>
          </w:p>
        </w:tc>
        <w:tc>
          <w:tcPr>
            <w:tcW w:w="2409" w:type="dxa"/>
            <w:vAlign w:val="center"/>
          </w:tcPr>
          <w:p w14:paraId="38F3E9F5" w14:textId="44E5AE45" w:rsidR="00F5359E" w:rsidRPr="0044016A" w:rsidRDefault="0063720E" w:rsidP="0063720E">
            <w:pPr>
              <w:jc w:val="center"/>
              <w:rPr>
                <w:sz w:val="20"/>
                <w:szCs w:val="20"/>
              </w:rPr>
            </w:pPr>
            <w:r>
              <w:rPr>
                <w:sz w:val="20"/>
                <w:szCs w:val="20"/>
              </w:rPr>
              <w:t>21,84%</w:t>
            </w:r>
          </w:p>
        </w:tc>
      </w:tr>
      <w:tr w:rsidR="00F5359E" w:rsidRPr="0044016A" w14:paraId="34869A0B" w14:textId="77777777" w:rsidTr="0044016A">
        <w:tc>
          <w:tcPr>
            <w:tcW w:w="2122" w:type="dxa"/>
            <w:vAlign w:val="center"/>
          </w:tcPr>
          <w:p w14:paraId="3F25D852" w14:textId="2B1E012B" w:rsidR="00F5359E" w:rsidRPr="0044016A" w:rsidRDefault="00F5359E" w:rsidP="00F5359E">
            <w:pPr>
              <w:rPr>
                <w:sz w:val="20"/>
                <w:szCs w:val="20"/>
              </w:rPr>
            </w:pPr>
            <w:r>
              <w:rPr>
                <w:sz w:val="20"/>
                <w:szCs w:val="20"/>
              </w:rPr>
              <w:t>gminy wiejskie</w:t>
            </w:r>
          </w:p>
        </w:tc>
        <w:tc>
          <w:tcPr>
            <w:tcW w:w="2268" w:type="dxa"/>
            <w:vAlign w:val="center"/>
          </w:tcPr>
          <w:p w14:paraId="29E89CD4" w14:textId="434906D3" w:rsidR="00F5359E" w:rsidRPr="0044016A" w:rsidRDefault="00F5359E" w:rsidP="0063720E">
            <w:pPr>
              <w:jc w:val="center"/>
              <w:rPr>
                <w:sz w:val="20"/>
                <w:szCs w:val="20"/>
              </w:rPr>
            </w:pPr>
            <w:r>
              <w:rPr>
                <w:sz w:val="20"/>
                <w:szCs w:val="20"/>
              </w:rPr>
              <w:t>150 266</w:t>
            </w:r>
          </w:p>
        </w:tc>
        <w:tc>
          <w:tcPr>
            <w:tcW w:w="2268" w:type="dxa"/>
            <w:vAlign w:val="center"/>
          </w:tcPr>
          <w:p w14:paraId="5BD53F17" w14:textId="50ED5372" w:rsidR="00F5359E" w:rsidRPr="0044016A" w:rsidRDefault="0063720E" w:rsidP="0063720E">
            <w:pPr>
              <w:jc w:val="center"/>
              <w:rPr>
                <w:sz w:val="20"/>
                <w:szCs w:val="20"/>
              </w:rPr>
            </w:pPr>
            <w:r>
              <w:rPr>
                <w:sz w:val="20"/>
                <w:szCs w:val="20"/>
              </w:rPr>
              <w:t>35 633</w:t>
            </w:r>
          </w:p>
        </w:tc>
        <w:tc>
          <w:tcPr>
            <w:tcW w:w="2409" w:type="dxa"/>
            <w:vAlign w:val="center"/>
          </w:tcPr>
          <w:p w14:paraId="1EE23989" w14:textId="473BE851" w:rsidR="00F5359E" w:rsidRPr="0044016A" w:rsidRDefault="0063720E" w:rsidP="0063720E">
            <w:pPr>
              <w:jc w:val="center"/>
              <w:rPr>
                <w:sz w:val="20"/>
                <w:szCs w:val="20"/>
              </w:rPr>
            </w:pPr>
            <w:r>
              <w:rPr>
                <w:sz w:val="20"/>
                <w:szCs w:val="20"/>
              </w:rPr>
              <w:t>23,71%</w:t>
            </w:r>
          </w:p>
        </w:tc>
      </w:tr>
      <w:tr w:rsidR="00F5359E" w:rsidRPr="0044016A" w14:paraId="49A8404A" w14:textId="77777777" w:rsidTr="0044016A">
        <w:tc>
          <w:tcPr>
            <w:tcW w:w="2122" w:type="dxa"/>
            <w:vAlign w:val="center"/>
          </w:tcPr>
          <w:p w14:paraId="5231E2DC" w14:textId="37859E54" w:rsidR="00F5359E" w:rsidRPr="0044016A" w:rsidRDefault="00F5359E" w:rsidP="00F5359E">
            <w:pPr>
              <w:rPr>
                <w:b/>
                <w:bCs/>
                <w:sz w:val="20"/>
                <w:szCs w:val="20"/>
              </w:rPr>
            </w:pPr>
            <w:r>
              <w:rPr>
                <w:b/>
                <w:bCs/>
                <w:sz w:val="20"/>
                <w:szCs w:val="20"/>
              </w:rPr>
              <w:t>łącznie</w:t>
            </w:r>
          </w:p>
        </w:tc>
        <w:tc>
          <w:tcPr>
            <w:tcW w:w="2268" w:type="dxa"/>
            <w:vAlign w:val="center"/>
          </w:tcPr>
          <w:p w14:paraId="5ED8FE31" w14:textId="4B092AE3" w:rsidR="00F5359E" w:rsidRPr="00803661" w:rsidRDefault="00F5359E" w:rsidP="0063720E">
            <w:pPr>
              <w:jc w:val="center"/>
              <w:rPr>
                <w:b/>
                <w:bCs/>
                <w:sz w:val="20"/>
                <w:szCs w:val="20"/>
              </w:rPr>
            </w:pPr>
            <w:r w:rsidRPr="00EA6BAE">
              <w:rPr>
                <w:b/>
                <w:bCs/>
                <w:sz w:val="20"/>
                <w:szCs w:val="20"/>
              </w:rPr>
              <w:t>291 652</w:t>
            </w:r>
          </w:p>
        </w:tc>
        <w:tc>
          <w:tcPr>
            <w:tcW w:w="2268" w:type="dxa"/>
            <w:vAlign w:val="center"/>
          </w:tcPr>
          <w:p w14:paraId="459C89B3" w14:textId="378CE939" w:rsidR="00F5359E" w:rsidRPr="00EA6BAE" w:rsidRDefault="0063720E" w:rsidP="0063720E">
            <w:pPr>
              <w:jc w:val="center"/>
              <w:rPr>
                <w:b/>
                <w:bCs/>
                <w:sz w:val="20"/>
                <w:szCs w:val="20"/>
              </w:rPr>
            </w:pPr>
            <w:r>
              <w:rPr>
                <w:b/>
                <w:bCs/>
                <w:sz w:val="20"/>
                <w:szCs w:val="20"/>
              </w:rPr>
              <w:t>69 614</w:t>
            </w:r>
          </w:p>
        </w:tc>
        <w:tc>
          <w:tcPr>
            <w:tcW w:w="2409" w:type="dxa"/>
            <w:vAlign w:val="center"/>
          </w:tcPr>
          <w:p w14:paraId="215B6116" w14:textId="4E894178" w:rsidR="00F5359E" w:rsidRPr="0063720E" w:rsidRDefault="0063720E" w:rsidP="0063720E">
            <w:pPr>
              <w:jc w:val="center"/>
              <w:rPr>
                <w:b/>
                <w:bCs/>
                <w:sz w:val="20"/>
                <w:szCs w:val="20"/>
              </w:rPr>
            </w:pPr>
            <w:r w:rsidRPr="0063720E">
              <w:rPr>
                <w:b/>
                <w:bCs/>
                <w:sz w:val="20"/>
                <w:szCs w:val="20"/>
              </w:rPr>
              <w:t>23,87%</w:t>
            </w:r>
          </w:p>
        </w:tc>
      </w:tr>
    </w:tbl>
    <w:p w14:paraId="5AFAA17D" w14:textId="58A8630F" w:rsidR="0044016A" w:rsidRDefault="009A1303" w:rsidP="0044016A">
      <w:pPr>
        <w:rPr>
          <w:sz w:val="20"/>
          <w:szCs w:val="20"/>
        </w:rPr>
      </w:pPr>
      <w:r w:rsidRPr="009A1303">
        <w:rPr>
          <w:sz w:val="20"/>
          <w:szCs w:val="20"/>
        </w:rPr>
        <w:t>Źródło: opracowanie własne na podstawie danych GUS za 2018 r.</w:t>
      </w:r>
    </w:p>
    <w:p w14:paraId="20631C0C" w14:textId="151F8FB5" w:rsidR="00F31B6A" w:rsidRDefault="00AC2B77" w:rsidP="00291DF9">
      <w:pPr>
        <w:spacing w:line="312" w:lineRule="auto"/>
        <w:jc w:val="both"/>
      </w:pPr>
      <w:r>
        <w:t xml:space="preserve">Należy zwrócić uwagę, że </w:t>
      </w:r>
      <w:r w:rsidR="00F31B6A">
        <w:t xml:space="preserve">najbardziej rozległe obszary zdegradowane zostały </w:t>
      </w:r>
      <w:r w:rsidR="008349A4">
        <w:t xml:space="preserve">wyznaczone </w:t>
      </w:r>
      <w:r w:rsidR="00F31B6A">
        <w:t xml:space="preserve">w gminach miejsko-wiejskich i wiejskich. Z powodu kryteriów formalnych w granicach obszarów </w:t>
      </w:r>
      <w:r w:rsidR="006F7282">
        <w:t>rewitalizacji</w:t>
      </w:r>
      <w:r w:rsidR="00F31B6A">
        <w:t xml:space="preserve"> </w:t>
      </w:r>
      <w:r w:rsidR="006F7282">
        <w:t>znalazł</w:t>
      </w:r>
      <w:r w:rsidR="004D1AE9">
        <w:t>a</w:t>
      </w:r>
      <w:r w:rsidR="006F7282">
        <w:t xml:space="preserve"> się nie więcej niż ¼ </w:t>
      </w:r>
      <w:r w:rsidR="009C1978">
        <w:t xml:space="preserve">części </w:t>
      </w:r>
      <w:r w:rsidR="006F7282">
        <w:t>obszarów zdegradowanych. Wynika to w głównej mierze z rozproszenia zabudowy w tych gminach</w:t>
      </w:r>
      <w:r w:rsidR="004D1AE9">
        <w:t xml:space="preserve"> i mniejszej gęstości zaludnienia</w:t>
      </w:r>
      <w:r w:rsidR="006F7282">
        <w:t xml:space="preserve">. </w:t>
      </w:r>
      <w:r w:rsidR="006456C7">
        <w:t>W przypadku gmin miejskich obszary zdegradowane były bardziej skondensowane i mniej rozległe, co umożliwiło włączenie ich w większej części w granice obszarów rewitalizacji (</w:t>
      </w:r>
      <w:r w:rsidR="009C1978">
        <w:t>w ponad połowie). Wynika z tego, ż</w:t>
      </w:r>
      <w:r w:rsidR="008349A4">
        <w:t>e</w:t>
      </w:r>
      <w:r w:rsidR="009C1978">
        <w:t xml:space="preserve"> wyznaczaniu obszarów rewitalizacji sprzyja większa zwartość zabudowy i większa gęstość zaludnienia. </w:t>
      </w:r>
    </w:p>
    <w:p w14:paraId="393CE6C4" w14:textId="77777777" w:rsidR="00CC4D2C" w:rsidRPr="00CC4D2C" w:rsidRDefault="00CC4D2C" w:rsidP="00CC4D2C">
      <w:pPr>
        <w:spacing w:line="312" w:lineRule="auto"/>
        <w:jc w:val="both"/>
        <w:rPr>
          <w:b/>
          <w:bCs/>
        </w:rPr>
      </w:pPr>
      <w:r w:rsidRPr="00CC4D2C">
        <w:rPr>
          <w:b/>
          <w:bCs/>
        </w:rPr>
        <w:t>Dobre praktyki w zakresie delimitacji obszarów zdegradowanych</w:t>
      </w:r>
    </w:p>
    <w:p w14:paraId="485FEDD9" w14:textId="60A8D9CD" w:rsidR="00CC4D2C" w:rsidRDefault="001A2B72" w:rsidP="00A02010">
      <w:pPr>
        <w:spacing w:line="312" w:lineRule="auto"/>
        <w:jc w:val="both"/>
      </w:pPr>
      <w:r>
        <w:t>S</w:t>
      </w:r>
      <w:r w:rsidR="00F37911">
        <w:t>amorząd</w:t>
      </w:r>
      <w:r>
        <w:t xml:space="preserve">y </w:t>
      </w:r>
      <w:r w:rsidR="00F37911">
        <w:t xml:space="preserve">województwa podkarpackiego </w:t>
      </w:r>
      <w:r>
        <w:t xml:space="preserve">posiadają rozległe doświadczenia związane z delimitacją obszarów na potrzeby procesu rewitalizacji. Dobrą praktykę wypracował w tym zakresie m.in. </w:t>
      </w:r>
      <w:r w:rsidR="00345F6B" w:rsidRPr="00345F6B">
        <w:rPr>
          <w:b/>
        </w:rPr>
        <w:t>miasto</w:t>
      </w:r>
      <w:r w:rsidR="00345F6B">
        <w:t xml:space="preserve"> </w:t>
      </w:r>
      <w:r w:rsidR="00F37911" w:rsidRPr="00CA2906">
        <w:rPr>
          <w:b/>
        </w:rPr>
        <w:t>Rzes</w:t>
      </w:r>
      <w:r w:rsidR="00EA1C94" w:rsidRPr="00CA2906">
        <w:rPr>
          <w:b/>
        </w:rPr>
        <w:t>z</w:t>
      </w:r>
      <w:r w:rsidR="002E25ED" w:rsidRPr="00CA2906">
        <w:rPr>
          <w:b/>
        </w:rPr>
        <w:t>ów</w:t>
      </w:r>
      <w:r w:rsidR="00827641" w:rsidRPr="00CA2906">
        <w:rPr>
          <w:b/>
        </w:rPr>
        <w:t>,</w:t>
      </w:r>
      <w:r w:rsidR="00A80C64">
        <w:t xml:space="preserve"> </w:t>
      </w:r>
      <w:r w:rsidR="00827641">
        <w:t xml:space="preserve">zilustrowaną </w:t>
      </w:r>
      <w:r w:rsidR="00827641" w:rsidRPr="00CA2906">
        <w:t xml:space="preserve">metodyką diagnozy </w:t>
      </w:r>
      <w:r w:rsidR="00F37911" w:rsidRPr="00CA2906">
        <w:t>przeprowadzon</w:t>
      </w:r>
      <w:r w:rsidR="00827641" w:rsidRPr="00CA2906">
        <w:t xml:space="preserve">ą </w:t>
      </w:r>
      <w:r w:rsidR="00F37911" w:rsidRPr="00CA2906">
        <w:t xml:space="preserve">na potrzeby </w:t>
      </w:r>
      <w:r w:rsidR="00827641" w:rsidRPr="00CA2906">
        <w:t xml:space="preserve">opracowania </w:t>
      </w:r>
      <w:hyperlink r:id="rId9" w:history="1">
        <w:r w:rsidR="00EA1C94" w:rsidRPr="00CA2906">
          <w:rPr>
            <w:rStyle w:val="Hipercze"/>
            <w:i/>
            <w:color w:val="000000" w:themeColor="text1"/>
            <w:u w:val="none"/>
          </w:rPr>
          <w:t>Lokalnego Programu Rewitalizacji dla Gminy Miasta Rzeszowa do roku 2023</w:t>
        </w:r>
      </w:hyperlink>
      <w:r w:rsidR="00EA1C94" w:rsidRPr="00A2003D">
        <w:rPr>
          <w:i/>
          <w:color w:val="000000" w:themeColor="text1"/>
        </w:rPr>
        <w:t>.</w:t>
      </w:r>
      <w:r w:rsidR="00824F24">
        <w:t xml:space="preserve"> Na etapie delimitacji przyjęto podział miasta na 29 jednostek przestrzennych</w:t>
      </w:r>
      <w:r w:rsidR="00827641">
        <w:t>, wyznaczonych w granicach poszczególnych osiedli mieszkaniowych</w:t>
      </w:r>
      <w:r w:rsidR="00824F24">
        <w:t>.</w:t>
      </w:r>
      <w:r w:rsidR="00F37911">
        <w:t xml:space="preserve"> </w:t>
      </w:r>
      <w:r w:rsidR="001E3791">
        <w:t xml:space="preserve">Następnie </w:t>
      </w:r>
      <w:r w:rsidR="00585054">
        <w:t xml:space="preserve">za pomocą </w:t>
      </w:r>
      <w:r w:rsidR="001E3791">
        <w:t>katalog</w:t>
      </w:r>
      <w:r w:rsidR="00585054">
        <w:t>u</w:t>
      </w:r>
      <w:r w:rsidR="001E3791">
        <w:t xml:space="preserve"> 32 wskaźników </w:t>
      </w:r>
      <w:r w:rsidR="00585054">
        <w:t xml:space="preserve">przeprowadzono analizę zróżnicowania wewnątrzmiejskiego </w:t>
      </w:r>
      <w:r w:rsidR="001E3791">
        <w:t>w każdej z pięciu sfer: społecznej, gospodarczej, środowiskowej, przestrzenno-funkcjonalnej i technicznej.</w:t>
      </w:r>
      <w:r w:rsidR="001B74C7">
        <w:t xml:space="preserve"> </w:t>
      </w:r>
      <w:r w:rsidR="00585054">
        <w:t>Poszczególnym w</w:t>
      </w:r>
      <w:r w:rsidR="00C62A9E">
        <w:t>skaźnikom przyznano wagi</w:t>
      </w:r>
      <w:r w:rsidR="00585054">
        <w:t xml:space="preserve">, przy czym </w:t>
      </w:r>
      <w:r w:rsidR="00585054">
        <w:br/>
      </w:r>
      <w:r w:rsidR="00B24638">
        <w:t>za najistotniejsze uzna</w:t>
      </w:r>
      <w:r w:rsidR="00585054">
        <w:t xml:space="preserve">no </w:t>
      </w:r>
      <w:r w:rsidR="005A2420">
        <w:t>problemy w sferze</w:t>
      </w:r>
      <w:r w:rsidR="00B24638">
        <w:t xml:space="preserve"> społeczne</w:t>
      </w:r>
      <w:r w:rsidR="005A2420">
        <w:t>j</w:t>
      </w:r>
      <w:r w:rsidR="00585054">
        <w:t xml:space="preserve">. Wykaz </w:t>
      </w:r>
      <w:r w:rsidR="00580001">
        <w:t>wskaźników</w:t>
      </w:r>
      <w:r w:rsidR="00585054">
        <w:t xml:space="preserve"> </w:t>
      </w:r>
      <w:r w:rsidR="00B773D3">
        <w:t>analizowanych</w:t>
      </w:r>
      <w:r w:rsidR="00585054">
        <w:t xml:space="preserve"> na potrzeby wyznaczenia obszaru zdegradowanego w Rzeszowie obrazuje </w:t>
      </w:r>
      <w:r w:rsidR="00A80C64">
        <w:t>poniższa tabela.</w:t>
      </w:r>
    </w:p>
    <w:p w14:paraId="43CD3BD6" w14:textId="2FA16105" w:rsidR="005A2420" w:rsidRDefault="005A2420" w:rsidP="005A2420">
      <w:pPr>
        <w:pStyle w:val="Legenda"/>
        <w:spacing w:after="0"/>
        <w:rPr>
          <w:i w:val="0"/>
          <w:iCs w:val="0"/>
          <w:color w:val="auto"/>
          <w:sz w:val="20"/>
          <w:szCs w:val="20"/>
        </w:rPr>
      </w:pPr>
      <w:r w:rsidRPr="005A2420">
        <w:rPr>
          <w:i w:val="0"/>
          <w:iCs w:val="0"/>
          <w:color w:val="auto"/>
          <w:sz w:val="20"/>
          <w:szCs w:val="20"/>
        </w:rPr>
        <w:t xml:space="preserve">Tabela </w:t>
      </w:r>
      <w:r w:rsidR="00A80C64">
        <w:rPr>
          <w:i w:val="0"/>
          <w:iCs w:val="0"/>
          <w:color w:val="auto"/>
          <w:sz w:val="20"/>
          <w:szCs w:val="20"/>
        </w:rPr>
        <w:t>3</w:t>
      </w:r>
      <w:r w:rsidRPr="005A2420">
        <w:rPr>
          <w:i w:val="0"/>
          <w:iCs w:val="0"/>
          <w:color w:val="auto"/>
          <w:sz w:val="20"/>
          <w:szCs w:val="20"/>
        </w:rPr>
        <w:t xml:space="preserve">. Zestawienie wskaźników </w:t>
      </w:r>
      <w:r w:rsidR="00742DE9">
        <w:rPr>
          <w:i w:val="0"/>
          <w:iCs w:val="0"/>
          <w:color w:val="auto"/>
          <w:sz w:val="20"/>
          <w:szCs w:val="20"/>
        </w:rPr>
        <w:t>użytych w Rzeszowie do wyznaczenia obszaru zdegradowanego</w:t>
      </w:r>
    </w:p>
    <w:tbl>
      <w:tblPr>
        <w:tblStyle w:val="Tabela-Siatka"/>
        <w:tblW w:w="9190" w:type="dxa"/>
        <w:tblLook w:val="04A0" w:firstRow="1" w:lastRow="0" w:firstColumn="1" w:lastColumn="0" w:noHBand="0" w:noVBand="1"/>
      </w:tblPr>
      <w:tblGrid>
        <w:gridCol w:w="702"/>
        <w:gridCol w:w="7798"/>
        <w:gridCol w:w="690"/>
      </w:tblGrid>
      <w:tr w:rsidR="005A2420" w:rsidRPr="00E30212" w14:paraId="3339AD83" w14:textId="77777777" w:rsidTr="00544329">
        <w:tc>
          <w:tcPr>
            <w:tcW w:w="702" w:type="dxa"/>
            <w:vAlign w:val="center"/>
          </w:tcPr>
          <w:p w14:paraId="22C3BE2A" w14:textId="77777777" w:rsidR="005A2420" w:rsidRPr="00E30212" w:rsidRDefault="005A2420" w:rsidP="00F92AA4">
            <w:pPr>
              <w:jc w:val="center"/>
              <w:rPr>
                <w:sz w:val="20"/>
                <w:szCs w:val="20"/>
              </w:rPr>
            </w:pPr>
            <w:r w:rsidRPr="00E30212">
              <w:rPr>
                <w:b/>
                <w:bCs/>
                <w:sz w:val="20"/>
                <w:szCs w:val="20"/>
              </w:rPr>
              <w:t>Lp.</w:t>
            </w:r>
          </w:p>
        </w:tc>
        <w:tc>
          <w:tcPr>
            <w:tcW w:w="7798" w:type="dxa"/>
            <w:vAlign w:val="center"/>
          </w:tcPr>
          <w:p w14:paraId="4A631897" w14:textId="77777777" w:rsidR="005A2420" w:rsidRPr="00E30212" w:rsidRDefault="005A2420" w:rsidP="00F92AA4">
            <w:pPr>
              <w:rPr>
                <w:sz w:val="20"/>
                <w:szCs w:val="20"/>
              </w:rPr>
            </w:pPr>
            <w:r w:rsidRPr="00E30212">
              <w:rPr>
                <w:b/>
                <w:bCs/>
                <w:sz w:val="20"/>
                <w:szCs w:val="20"/>
              </w:rPr>
              <w:t xml:space="preserve">Nazwa wskaźnika </w:t>
            </w:r>
          </w:p>
        </w:tc>
        <w:tc>
          <w:tcPr>
            <w:tcW w:w="690" w:type="dxa"/>
            <w:vAlign w:val="center"/>
          </w:tcPr>
          <w:p w14:paraId="56B32FB2" w14:textId="77777777" w:rsidR="005A2420" w:rsidRPr="00E30212" w:rsidRDefault="005A2420" w:rsidP="00F92AA4">
            <w:pPr>
              <w:jc w:val="center"/>
              <w:rPr>
                <w:sz w:val="20"/>
                <w:szCs w:val="20"/>
              </w:rPr>
            </w:pPr>
            <w:r w:rsidRPr="00E30212">
              <w:rPr>
                <w:b/>
                <w:bCs/>
                <w:sz w:val="20"/>
                <w:szCs w:val="20"/>
              </w:rPr>
              <w:t>Waga</w:t>
            </w:r>
          </w:p>
        </w:tc>
      </w:tr>
      <w:tr w:rsidR="005A2420" w:rsidRPr="00E30212" w14:paraId="117E278A" w14:textId="77777777" w:rsidTr="00544329">
        <w:tc>
          <w:tcPr>
            <w:tcW w:w="702" w:type="dxa"/>
            <w:vAlign w:val="center"/>
          </w:tcPr>
          <w:p w14:paraId="46C23901" w14:textId="77777777" w:rsidR="005A2420" w:rsidRPr="00E30212" w:rsidRDefault="005A2420" w:rsidP="00F92AA4">
            <w:pPr>
              <w:jc w:val="center"/>
              <w:rPr>
                <w:sz w:val="20"/>
                <w:szCs w:val="20"/>
              </w:rPr>
            </w:pPr>
            <w:r w:rsidRPr="00E30212">
              <w:rPr>
                <w:sz w:val="20"/>
                <w:szCs w:val="20"/>
              </w:rPr>
              <w:t>1.</w:t>
            </w:r>
          </w:p>
        </w:tc>
        <w:tc>
          <w:tcPr>
            <w:tcW w:w="7798" w:type="dxa"/>
            <w:vAlign w:val="center"/>
          </w:tcPr>
          <w:p w14:paraId="2411C0F8" w14:textId="77777777" w:rsidR="005A2420" w:rsidRPr="00E30212" w:rsidRDefault="005A2420" w:rsidP="00F92AA4">
            <w:pPr>
              <w:rPr>
                <w:sz w:val="20"/>
                <w:szCs w:val="20"/>
              </w:rPr>
            </w:pPr>
            <w:r w:rsidRPr="00E30212">
              <w:rPr>
                <w:sz w:val="20"/>
                <w:szCs w:val="20"/>
              </w:rPr>
              <w:t xml:space="preserve">Liczba rodzin, w których przyznawane są świadczenia z uwagi na niepełnosprawność </w:t>
            </w:r>
          </w:p>
        </w:tc>
        <w:tc>
          <w:tcPr>
            <w:tcW w:w="690" w:type="dxa"/>
            <w:vAlign w:val="center"/>
          </w:tcPr>
          <w:p w14:paraId="5824A942" w14:textId="77777777" w:rsidR="005A2420" w:rsidRPr="00E30212" w:rsidRDefault="005A2420" w:rsidP="00F92AA4">
            <w:pPr>
              <w:jc w:val="center"/>
              <w:rPr>
                <w:sz w:val="20"/>
                <w:szCs w:val="20"/>
              </w:rPr>
            </w:pPr>
            <w:r w:rsidRPr="00E30212">
              <w:rPr>
                <w:sz w:val="20"/>
                <w:szCs w:val="20"/>
              </w:rPr>
              <w:t>3</w:t>
            </w:r>
          </w:p>
        </w:tc>
      </w:tr>
      <w:tr w:rsidR="005A2420" w:rsidRPr="00E30212" w14:paraId="2485D293" w14:textId="77777777" w:rsidTr="00544329">
        <w:tc>
          <w:tcPr>
            <w:tcW w:w="702" w:type="dxa"/>
            <w:vAlign w:val="center"/>
          </w:tcPr>
          <w:p w14:paraId="2FBF9574" w14:textId="77777777" w:rsidR="005A2420" w:rsidRPr="00E30212" w:rsidRDefault="005A2420" w:rsidP="00F92AA4">
            <w:pPr>
              <w:jc w:val="center"/>
              <w:rPr>
                <w:sz w:val="20"/>
                <w:szCs w:val="20"/>
              </w:rPr>
            </w:pPr>
            <w:r w:rsidRPr="00E30212">
              <w:rPr>
                <w:sz w:val="20"/>
                <w:szCs w:val="20"/>
              </w:rPr>
              <w:t>2.</w:t>
            </w:r>
          </w:p>
        </w:tc>
        <w:tc>
          <w:tcPr>
            <w:tcW w:w="7798" w:type="dxa"/>
            <w:vAlign w:val="center"/>
          </w:tcPr>
          <w:p w14:paraId="63D53F15" w14:textId="77777777" w:rsidR="005A2420" w:rsidRPr="00E30212" w:rsidRDefault="005A2420" w:rsidP="00F92AA4">
            <w:pPr>
              <w:rPr>
                <w:sz w:val="20"/>
                <w:szCs w:val="20"/>
              </w:rPr>
            </w:pPr>
            <w:r w:rsidRPr="00E30212">
              <w:rPr>
                <w:sz w:val="20"/>
                <w:szCs w:val="20"/>
              </w:rPr>
              <w:t xml:space="preserve">Liczba rodzin, w których przyznawane są świadczenia z uwagi na alkoholizm </w:t>
            </w:r>
          </w:p>
        </w:tc>
        <w:tc>
          <w:tcPr>
            <w:tcW w:w="690" w:type="dxa"/>
            <w:vAlign w:val="center"/>
          </w:tcPr>
          <w:p w14:paraId="06E1EE76" w14:textId="77777777" w:rsidR="005A2420" w:rsidRPr="00E30212" w:rsidRDefault="005A2420" w:rsidP="00F92AA4">
            <w:pPr>
              <w:jc w:val="center"/>
              <w:rPr>
                <w:sz w:val="20"/>
                <w:szCs w:val="20"/>
              </w:rPr>
            </w:pPr>
            <w:r w:rsidRPr="00E30212">
              <w:rPr>
                <w:sz w:val="20"/>
                <w:szCs w:val="20"/>
              </w:rPr>
              <w:t>3</w:t>
            </w:r>
          </w:p>
        </w:tc>
      </w:tr>
      <w:tr w:rsidR="005A2420" w:rsidRPr="00E30212" w14:paraId="44448F21" w14:textId="77777777" w:rsidTr="00544329">
        <w:tc>
          <w:tcPr>
            <w:tcW w:w="702" w:type="dxa"/>
            <w:vAlign w:val="center"/>
          </w:tcPr>
          <w:p w14:paraId="3CEC2399" w14:textId="77777777" w:rsidR="005A2420" w:rsidRPr="00E30212" w:rsidRDefault="005A2420" w:rsidP="00F92AA4">
            <w:pPr>
              <w:jc w:val="center"/>
              <w:rPr>
                <w:sz w:val="20"/>
                <w:szCs w:val="20"/>
              </w:rPr>
            </w:pPr>
            <w:r w:rsidRPr="00E30212">
              <w:rPr>
                <w:sz w:val="20"/>
                <w:szCs w:val="20"/>
              </w:rPr>
              <w:t>3.</w:t>
            </w:r>
          </w:p>
        </w:tc>
        <w:tc>
          <w:tcPr>
            <w:tcW w:w="7798" w:type="dxa"/>
            <w:vAlign w:val="center"/>
          </w:tcPr>
          <w:p w14:paraId="4A1E8863" w14:textId="77777777" w:rsidR="005A2420" w:rsidRPr="00E30212" w:rsidRDefault="005A2420" w:rsidP="00F92AA4">
            <w:pPr>
              <w:rPr>
                <w:sz w:val="20"/>
                <w:szCs w:val="20"/>
              </w:rPr>
            </w:pPr>
            <w:r w:rsidRPr="00E30212">
              <w:rPr>
                <w:sz w:val="20"/>
                <w:szCs w:val="20"/>
              </w:rPr>
              <w:t xml:space="preserve">Liczba rodzin, w których przyznawane są świadczenia z uwagi na długotrwałą lub ciężką chorobę </w:t>
            </w:r>
          </w:p>
        </w:tc>
        <w:tc>
          <w:tcPr>
            <w:tcW w:w="690" w:type="dxa"/>
            <w:vAlign w:val="center"/>
          </w:tcPr>
          <w:p w14:paraId="106315B6" w14:textId="77777777" w:rsidR="005A2420" w:rsidRPr="00E30212" w:rsidRDefault="005A2420" w:rsidP="00F92AA4">
            <w:pPr>
              <w:jc w:val="center"/>
              <w:rPr>
                <w:sz w:val="20"/>
                <w:szCs w:val="20"/>
              </w:rPr>
            </w:pPr>
            <w:r w:rsidRPr="00E30212">
              <w:rPr>
                <w:sz w:val="20"/>
                <w:szCs w:val="20"/>
              </w:rPr>
              <w:t>3</w:t>
            </w:r>
          </w:p>
        </w:tc>
      </w:tr>
      <w:tr w:rsidR="005A2420" w:rsidRPr="00E30212" w14:paraId="5F68F569" w14:textId="77777777" w:rsidTr="00544329">
        <w:tc>
          <w:tcPr>
            <w:tcW w:w="702" w:type="dxa"/>
            <w:vAlign w:val="center"/>
          </w:tcPr>
          <w:p w14:paraId="1533BEAE" w14:textId="77777777" w:rsidR="005A2420" w:rsidRPr="00E30212" w:rsidRDefault="005A2420" w:rsidP="00F92AA4">
            <w:pPr>
              <w:jc w:val="center"/>
              <w:rPr>
                <w:sz w:val="20"/>
                <w:szCs w:val="20"/>
              </w:rPr>
            </w:pPr>
            <w:r w:rsidRPr="00E30212">
              <w:rPr>
                <w:sz w:val="20"/>
                <w:szCs w:val="20"/>
              </w:rPr>
              <w:t>4.</w:t>
            </w:r>
          </w:p>
        </w:tc>
        <w:tc>
          <w:tcPr>
            <w:tcW w:w="7798" w:type="dxa"/>
            <w:vAlign w:val="center"/>
          </w:tcPr>
          <w:p w14:paraId="7D26DCF1" w14:textId="77777777" w:rsidR="005A2420" w:rsidRPr="00E30212" w:rsidRDefault="005A2420" w:rsidP="00F92AA4">
            <w:pPr>
              <w:rPr>
                <w:sz w:val="20"/>
                <w:szCs w:val="20"/>
              </w:rPr>
            </w:pPr>
            <w:r w:rsidRPr="00E30212">
              <w:rPr>
                <w:sz w:val="20"/>
                <w:szCs w:val="20"/>
              </w:rPr>
              <w:t xml:space="preserve">Liczba rodzin, w których przyznawane są świadczenia z uwagi na ubóstwo </w:t>
            </w:r>
          </w:p>
        </w:tc>
        <w:tc>
          <w:tcPr>
            <w:tcW w:w="690" w:type="dxa"/>
            <w:vAlign w:val="center"/>
          </w:tcPr>
          <w:p w14:paraId="56F7118B" w14:textId="77777777" w:rsidR="005A2420" w:rsidRPr="00E30212" w:rsidRDefault="005A2420" w:rsidP="00F92AA4">
            <w:pPr>
              <w:jc w:val="center"/>
              <w:rPr>
                <w:sz w:val="20"/>
                <w:szCs w:val="20"/>
              </w:rPr>
            </w:pPr>
            <w:r w:rsidRPr="00E30212">
              <w:rPr>
                <w:sz w:val="20"/>
                <w:szCs w:val="20"/>
              </w:rPr>
              <w:t>3</w:t>
            </w:r>
          </w:p>
        </w:tc>
      </w:tr>
      <w:tr w:rsidR="005A2420" w:rsidRPr="00E30212" w14:paraId="5D93BE51" w14:textId="77777777" w:rsidTr="00544329">
        <w:tc>
          <w:tcPr>
            <w:tcW w:w="702" w:type="dxa"/>
            <w:vAlign w:val="center"/>
          </w:tcPr>
          <w:p w14:paraId="589B96E8" w14:textId="77777777" w:rsidR="005A2420" w:rsidRPr="00E30212" w:rsidRDefault="005A2420" w:rsidP="00F92AA4">
            <w:pPr>
              <w:jc w:val="center"/>
              <w:rPr>
                <w:sz w:val="20"/>
                <w:szCs w:val="20"/>
              </w:rPr>
            </w:pPr>
            <w:r w:rsidRPr="00E30212">
              <w:rPr>
                <w:sz w:val="20"/>
                <w:szCs w:val="20"/>
              </w:rPr>
              <w:t>5.</w:t>
            </w:r>
          </w:p>
        </w:tc>
        <w:tc>
          <w:tcPr>
            <w:tcW w:w="7798" w:type="dxa"/>
            <w:vAlign w:val="center"/>
          </w:tcPr>
          <w:p w14:paraId="63F93359" w14:textId="77777777" w:rsidR="005A2420" w:rsidRPr="00E30212" w:rsidRDefault="005A2420" w:rsidP="00F92AA4">
            <w:pPr>
              <w:rPr>
                <w:sz w:val="20"/>
                <w:szCs w:val="20"/>
              </w:rPr>
            </w:pPr>
            <w:r w:rsidRPr="00E30212">
              <w:rPr>
                <w:sz w:val="20"/>
                <w:szCs w:val="20"/>
              </w:rPr>
              <w:t xml:space="preserve">Liczba rodzin, w których przyznawane są świadczenia z uwagi na bezradność </w:t>
            </w:r>
          </w:p>
        </w:tc>
        <w:tc>
          <w:tcPr>
            <w:tcW w:w="690" w:type="dxa"/>
            <w:vAlign w:val="center"/>
          </w:tcPr>
          <w:p w14:paraId="6A33BAD7" w14:textId="77777777" w:rsidR="005A2420" w:rsidRPr="00E30212" w:rsidRDefault="005A2420" w:rsidP="00F92AA4">
            <w:pPr>
              <w:jc w:val="center"/>
              <w:rPr>
                <w:sz w:val="20"/>
                <w:szCs w:val="20"/>
              </w:rPr>
            </w:pPr>
            <w:r w:rsidRPr="00E30212">
              <w:rPr>
                <w:sz w:val="20"/>
                <w:szCs w:val="20"/>
              </w:rPr>
              <w:t>3</w:t>
            </w:r>
          </w:p>
        </w:tc>
      </w:tr>
      <w:tr w:rsidR="005A2420" w:rsidRPr="00E30212" w14:paraId="313BA728" w14:textId="77777777" w:rsidTr="00544329">
        <w:tc>
          <w:tcPr>
            <w:tcW w:w="702" w:type="dxa"/>
            <w:vAlign w:val="center"/>
          </w:tcPr>
          <w:p w14:paraId="07F91F11" w14:textId="77777777" w:rsidR="005A2420" w:rsidRPr="00E30212" w:rsidRDefault="005A2420" w:rsidP="00F92AA4">
            <w:pPr>
              <w:jc w:val="center"/>
              <w:rPr>
                <w:sz w:val="20"/>
                <w:szCs w:val="20"/>
              </w:rPr>
            </w:pPr>
            <w:r w:rsidRPr="00E30212">
              <w:rPr>
                <w:sz w:val="20"/>
                <w:szCs w:val="20"/>
              </w:rPr>
              <w:t>6.</w:t>
            </w:r>
          </w:p>
        </w:tc>
        <w:tc>
          <w:tcPr>
            <w:tcW w:w="7798" w:type="dxa"/>
            <w:vAlign w:val="center"/>
          </w:tcPr>
          <w:p w14:paraId="7B298964" w14:textId="77777777" w:rsidR="005A2420" w:rsidRPr="00E30212" w:rsidRDefault="005A2420" w:rsidP="00F92AA4">
            <w:pPr>
              <w:rPr>
                <w:sz w:val="20"/>
                <w:szCs w:val="20"/>
              </w:rPr>
            </w:pPr>
            <w:r w:rsidRPr="00E30212">
              <w:rPr>
                <w:sz w:val="20"/>
                <w:szCs w:val="20"/>
              </w:rPr>
              <w:t xml:space="preserve">Liczba osób we wszystkich rodzinach objętych świadczeniami pomocy społecznej </w:t>
            </w:r>
          </w:p>
        </w:tc>
        <w:tc>
          <w:tcPr>
            <w:tcW w:w="690" w:type="dxa"/>
            <w:vAlign w:val="center"/>
          </w:tcPr>
          <w:p w14:paraId="0388C6B4" w14:textId="77777777" w:rsidR="005A2420" w:rsidRPr="00E30212" w:rsidRDefault="005A2420" w:rsidP="00F92AA4">
            <w:pPr>
              <w:jc w:val="center"/>
              <w:rPr>
                <w:sz w:val="20"/>
                <w:szCs w:val="20"/>
              </w:rPr>
            </w:pPr>
            <w:r w:rsidRPr="00E30212">
              <w:rPr>
                <w:sz w:val="20"/>
                <w:szCs w:val="20"/>
              </w:rPr>
              <w:t>3</w:t>
            </w:r>
          </w:p>
        </w:tc>
      </w:tr>
      <w:tr w:rsidR="005A2420" w:rsidRPr="00E30212" w14:paraId="27170875" w14:textId="77777777" w:rsidTr="00544329">
        <w:tc>
          <w:tcPr>
            <w:tcW w:w="702" w:type="dxa"/>
            <w:vAlign w:val="center"/>
          </w:tcPr>
          <w:p w14:paraId="5888731C" w14:textId="77777777" w:rsidR="005A2420" w:rsidRPr="00E30212" w:rsidRDefault="005A2420" w:rsidP="00F92AA4">
            <w:pPr>
              <w:jc w:val="center"/>
              <w:rPr>
                <w:sz w:val="20"/>
                <w:szCs w:val="20"/>
              </w:rPr>
            </w:pPr>
            <w:r w:rsidRPr="00E30212">
              <w:rPr>
                <w:sz w:val="20"/>
                <w:szCs w:val="20"/>
              </w:rPr>
              <w:lastRenderedPageBreak/>
              <w:t>7.</w:t>
            </w:r>
          </w:p>
        </w:tc>
        <w:tc>
          <w:tcPr>
            <w:tcW w:w="7798" w:type="dxa"/>
            <w:vAlign w:val="center"/>
          </w:tcPr>
          <w:p w14:paraId="05B4E140" w14:textId="77777777" w:rsidR="005A2420" w:rsidRPr="00E30212" w:rsidRDefault="005A2420" w:rsidP="00F92AA4">
            <w:pPr>
              <w:rPr>
                <w:sz w:val="20"/>
                <w:szCs w:val="20"/>
              </w:rPr>
            </w:pPr>
            <w:r w:rsidRPr="00E30212">
              <w:rPr>
                <w:sz w:val="20"/>
                <w:szCs w:val="20"/>
              </w:rPr>
              <w:t xml:space="preserve">Ludność długotrwale bezrobotna w stosunku do ilości ludzi bezrobotnych ogółem </w:t>
            </w:r>
          </w:p>
        </w:tc>
        <w:tc>
          <w:tcPr>
            <w:tcW w:w="690" w:type="dxa"/>
            <w:vAlign w:val="center"/>
          </w:tcPr>
          <w:p w14:paraId="07321332" w14:textId="77777777" w:rsidR="005A2420" w:rsidRPr="00E30212" w:rsidRDefault="005A2420" w:rsidP="00F92AA4">
            <w:pPr>
              <w:jc w:val="center"/>
              <w:rPr>
                <w:sz w:val="20"/>
                <w:szCs w:val="20"/>
              </w:rPr>
            </w:pPr>
            <w:r w:rsidRPr="00E30212">
              <w:rPr>
                <w:sz w:val="20"/>
                <w:szCs w:val="20"/>
              </w:rPr>
              <w:t>2</w:t>
            </w:r>
          </w:p>
        </w:tc>
      </w:tr>
      <w:tr w:rsidR="005A2420" w:rsidRPr="00E30212" w14:paraId="03E3B0E4" w14:textId="77777777" w:rsidTr="00544329">
        <w:tc>
          <w:tcPr>
            <w:tcW w:w="702" w:type="dxa"/>
            <w:vAlign w:val="center"/>
          </w:tcPr>
          <w:p w14:paraId="39AC392F" w14:textId="77777777" w:rsidR="005A2420" w:rsidRPr="00E30212" w:rsidRDefault="005A2420" w:rsidP="00F92AA4">
            <w:pPr>
              <w:jc w:val="center"/>
              <w:rPr>
                <w:sz w:val="20"/>
                <w:szCs w:val="20"/>
              </w:rPr>
            </w:pPr>
            <w:r w:rsidRPr="00E30212">
              <w:rPr>
                <w:sz w:val="20"/>
                <w:szCs w:val="20"/>
              </w:rPr>
              <w:t>8.</w:t>
            </w:r>
          </w:p>
        </w:tc>
        <w:tc>
          <w:tcPr>
            <w:tcW w:w="7798" w:type="dxa"/>
            <w:vAlign w:val="center"/>
          </w:tcPr>
          <w:p w14:paraId="1F1AA142" w14:textId="77777777" w:rsidR="005A2420" w:rsidRPr="00E30212" w:rsidRDefault="005A2420" w:rsidP="00F92AA4">
            <w:pPr>
              <w:rPr>
                <w:sz w:val="20"/>
                <w:szCs w:val="20"/>
              </w:rPr>
            </w:pPr>
            <w:r w:rsidRPr="00E30212">
              <w:rPr>
                <w:sz w:val="20"/>
                <w:szCs w:val="20"/>
              </w:rPr>
              <w:t xml:space="preserve">Ludność bezrobotna w stosunku do ilości ludzi w wieku produkcyjnym </w:t>
            </w:r>
          </w:p>
        </w:tc>
        <w:tc>
          <w:tcPr>
            <w:tcW w:w="690" w:type="dxa"/>
            <w:vAlign w:val="center"/>
          </w:tcPr>
          <w:p w14:paraId="5BA92B01" w14:textId="77777777" w:rsidR="005A2420" w:rsidRPr="00E30212" w:rsidRDefault="005A2420" w:rsidP="00F92AA4">
            <w:pPr>
              <w:jc w:val="center"/>
              <w:rPr>
                <w:sz w:val="20"/>
                <w:szCs w:val="20"/>
              </w:rPr>
            </w:pPr>
            <w:r w:rsidRPr="00E30212">
              <w:rPr>
                <w:sz w:val="20"/>
                <w:szCs w:val="20"/>
              </w:rPr>
              <w:t>2</w:t>
            </w:r>
          </w:p>
        </w:tc>
      </w:tr>
      <w:tr w:rsidR="005A2420" w:rsidRPr="00E30212" w14:paraId="5EFDBF3B" w14:textId="77777777" w:rsidTr="00544329">
        <w:tc>
          <w:tcPr>
            <w:tcW w:w="702" w:type="dxa"/>
            <w:vAlign w:val="center"/>
          </w:tcPr>
          <w:p w14:paraId="5105C10A" w14:textId="77777777" w:rsidR="005A2420" w:rsidRPr="00E30212" w:rsidRDefault="005A2420" w:rsidP="00F92AA4">
            <w:pPr>
              <w:jc w:val="center"/>
              <w:rPr>
                <w:sz w:val="20"/>
                <w:szCs w:val="20"/>
              </w:rPr>
            </w:pPr>
            <w:r w:rsidRPr="00E30212">
              <w:rPr>
                <w:sz w:val="20"/>
                <w:szCs w:val="20"/>
              </w:rPr>
              <w:t>9.</w:t>
            </w:r>
          </w:p>
        </w:tc>
        <w:tc>
          <w:tcPr>
            <w:tcW w:w="7798" w:type="dxa"/>
            <w:vAlign w:val="center"/>
          </w:tcPr>
          <w:p w14:paraId="64CB8EE6" w14:textId="77777777" w:rsidR="005A2420" w:rsidRPr="00E30212" w:rsidRDefault="005A2420" w:rsidP="00F92AA4">
            <w:pPr>
              <w:rPr>
                <w:sz w:val="20"/>
                <w:szCs w:val="20"/>
              </w:rPr>
            </w:pPr>
            <w:r w:rsidRPr="00E30212">
              <w:rPr>
                <w:sz w:val="20"/>
                <w:szCs w:val="20"/>
              </w:rPr>
              <w:t xml:space="preserve">Bezrobotni do 34 roku życia w stosunku do liczby bezrobotnych ogółem </w:t>
            </w:r>
          </w:p>
        </w:tc>
        <w:tc>
          <w:tcPr>
            <w:tcW w:w="690" w:type="dxa"/>
            <w:vAlign w:val="center"/>
          </w:tcPr>
          <w:p w14:paraId="7035E777" w14:textId="77777777" w:rsidR="005A2420" w:rsidRPr="00E30212" w:rsidRDefault="005A2420" w:rsidP="00F92AA4">
            <w:pPr>
              <w:jc w:val="center"/>
              <w:rPr>
                <w:sz w:val="20"/>
                <w:szCs w:val="20"/>
              </w:rPr>
            </w:pPr>
            <w:r w:rsidRPr="00E30212">
              <w:rPr>
                <w:sz w:val="20"/>
                <w:szCs w:val="20"/>
              </w:rPr>
              <w:t>2</w:t>
            </w:r>
          </w:p>
        </w:tc>
      </w:tr>
      <w:tr w:rsidR="005A2420" w:rsidRPr="00E30212" w14:paraId="0C89EC9F" w14:textId="77777777" w:rsidTr="00544329">
        <w:tc>
          <w:tcPr>
            <w:tcW w:w="702" w:type="dxa"/>
            <w:vAlign w:val="center"/>
          </w:tcPr>
          <w:p w14:paraId="479E3624" w14:textId="77777777" w:rsidR="005A2420" w:rsidRPr="00E30212" w:rsidRDefault="005A2420" w:rsidP="00F92AA4">
            <w:pPr>
              <w:jc w:val="center"/>
              <w:rPr>
                <w:sz w:val="20"/>
                <w:szCs w:val="20"/>
              </w:rPr>
            </w:pPr>
            <w:r w:rsidRPr="00E30212">
              <w:rPr>
                <w:sz w:val="20"/>
                <w:szCs w:val="20"/>
              </w:rPr>
              <w:t>10.</w:t>
            </w:r>
          </w:p>
        </w:tc>
        <w:tc>
          <w:tcPr>
            <w:tcW w:w="7798" w:type="dxa"/>
            <w:vAlign w:val="center"/>
          </w:tcPr>
          <w:p w14:paraId="1B8FD8A6" w14:textId="77777777" w:rsidR="005A2420" w:rsidRPr="00E30212" w:rsidRDefault="005A2420" w:rsidP="00F92AA4">
            <w:pPr>
              <w:rPr>
                <w:sz w:val="20"/>
                <w:szCs w:val="20"/>
              </w:rPr>
            </w:pPr>
            <w:r w:rsidRPr="00E30212">
              <w:rPr>
                <w:sz w:val="20"/>
                <w:szCs w:val="20"/>
              </w:rPr>
              <w:t xml:space="preserve">Ludność bezrobotna ogółem w stosunku do liczby mieszkańców </w:t>
            </w:r>
          </w:p>
        </w:tc>
        <w:tc>
          <w:tcPr>
            <w:tcW w:w="690" w:type="dxa"/>
            <w:vAlign w:val="center"/>
          </w:tcPr>
          <w:p w14:paraId="78771C69" w14:textId="77777777" w:rsidR="005A2420" w:rsidRPr="00E30212" w:rsidRDefault="005A2420" w:rsidP="00F92AA4">
            <w:pPr>
              <w:jc w:val="center"/>
              <w:rPr>
                <w:sz w:val="20"/>
                <w:szCs w:val="20"/>
              </w:rPr>
            </w:pPr>
            <w:r w:rsidRPr="00E30212">
              <w:rPr>
                <w:sz w:val="20"/>
                <w:szCs w:val="20"/>
              </w:rPr>
              <w:t>2</w:t>
            </w:r>
          </w:p>
        </w:tc>
      </w:tr>
      <w:tr w:rsidR="005A2420" w:rsidRPr="00E30212" w14:paraId="62D6C264" w14:textId="77777777" w:rsidTr="00544329">
        <w:tc>
          <w:tcPr>
            <w:tcW w:w="702" w:type="dxa"/>
            <w:vAlign w:val="center"/>
          </w:tcPr>
          <w:p w14:paraId="224748A2" w14:textId="77777777" w:rsidR="005A2420" w:rsidRPr="00E30212" w:rsidRDefault="005A2420" w:rsidP="00F92AA4">
            <w:pPr>
              <w:jc w:val="center"/>
              <w:rPr>
                <w:sz w:val="20"/>
                <w:szCs w:val="20"/>
              </w:rPr>
            </w:pPr>
            <w:r w:rsidRPr="00E30212">
              <w:rPr>
                <w:sz w:val="20"/>
                <w:szCs w:val="20"/>
              </w:rPr>
              <w:t>11.</w:t>
            </w:r>
          </w:p>
        </w:tc>
        <w:tc>
          <w:tcPr>
            <w:tcW w:w="7798" w:type="dxa"/>
            <w:vAlign w:val="center"/>
          </w:tcPr>
          <w:p w14:paraId="23BA4386" w14:textId="77777777" w:rsidR="005A2420" w:rsidRPr="00E30212" w:rsidRDefault="005A2420" w:rsidP="00F92AA4">
            <w:pPr>
              <w:rPr>
                <w:sz w:val="20"/>
                <w:szCs w:val="20"/>
              </w:rPr>
            </w:pPr>
            <w:r w:rsidRPr="00E30212">
              <w:rPr>
                <w:sz w:val="20"/>
                <w:szCs w:val="20"/>
              </w:rPr>
              <w:t xml:space="preserve">Mediana wieku </w:t>
            </w:r>
          </w:p>
        </w:tc>
        <w:tc>
          <w:tcPr>
            <w:tcW w:w="690" w:type="dxa"/>
            <w:vAlign w:val="center"/>
          </w:tcPr>
          <w:p w14:paraId="3BBD28E6" w14:textId="77777777" w:rsidR="005A2420" w:rsidRPr="00E30212" w:rsidRDefault="005A2420" w:rsidP="00F92AA4">
            <w:pPr>
              <w:jc w:val="center"/>
              <w:rPr>
                <w:sz w:val="20"/>
                <w:szCs w:val="20"/>
              </w:rPr>
            </w:pPr>
            <w:r w:rsidRPr="00E30212">
              <w:rPr>
                <w:sz w:val="20"/>
                <w:szCs w:val="20"/>
              </w:rPr>
              <w:t>2</w:t>
            </w:r>
          </w:p>
        </w:tc>
      </w:tr>
      <w:tr w:rsidR="005A2420" w:rsidRPr="00E30212" w14:paraId="277126F3" w14:textId="77777777" w:rsidTr="00544329">
        <w:tc>
          <w:tcPr>
            <w:tcW w:w="702" w:type="dxa"/>
            <w:vAlign w:val="center"/>
          </w:tcPr>
          <w:p w14:paraId="63EC5110" w14:textId="77777777" w:rsidR="005A2420" w:rsidRPr="00E30212" w:rsidRDefault="005A2420" w:rsidP="00F92AA4">
            <w:pPr>
              <w:jc w:val="center"/>
              <w:rPr>
                <w:sz w:val="20"/>
                <w:szCs w:val="20"/>
              </w:rPr>
            </w:pPr>
            <w:r w:rsidRPr="00E30212">
              <w:rPr>
                <w:sz w:val="20"/>
                <w:szCs w:val="20"/>
              </w:rPr>
              <w:t>12.</w:t>
            </w:r>
          </w:p>
        </w:tc>
        <w:tc>
          <w:tcPr>
            <w:tcW w:w="7798" w:type="dxa"/>
            <w:vAlign w:val="center"/>
          </w:tcPr>
          <w:p w14:paraId="7BEED1BD" w14:textId="77777777" w:rsidR="005A2420" w:rsidRPr="00E30212" w:rsidRDefault="005A2420" w:rsidP="00F92AA4">
            <w:pPr>
              <w:rPr>
                <w:sz w:val="20"/>
                <w:szCs w:val="20"/>
              </w:rPr>
            </w:pPr>
            <w:r w:rsidRPr="00E30212">
              <w:rPr>
                <w:sz w:val="20"/>
                <w:szCs w:val="20"/>
              </w:rPr>
              <w:t xml:space="preserve">Saldo migracji </w:t>
            </w:r>
          </w:p>
        </w:tc>
        <w:tc>
          <w:tcPr>
            <w:tcW w:w="690" w:type="dxa"/>
            <w:vAlign w:val="center"/>
          </w:tcPr>
          <w:p w14:paraId="13F13454" w14:textId="77777777" w:rsidR="005A2420" w:rsidRPr="00E30212" w:rsidRDefault="005A2420" w:rsidP="00F92AA4">
            <w:pPr>
              <w:jc w:val="center"/>
              <w:rPr>
                <w:sz w:val="20"/>
                <w:szCs w:val="20"/>
              </w:rPr>
            </w:pPr>
            <w:r w:rsidRPr="00E30212">
              <w:rPr>
                <w:sz w:val="20"/>
                <w:szCs w:val="20"/>
              </w:rPr>
              <w:t>2</w:t>
            </w:r>
          </w:p>
        </w:tc>
      </w:tr>
      <w:tr w:rsidR="005A2420" w:rsidRPr="00E30212" w14:paraId="7CECF860" w14:textId="77777777" w:rsidTr="00544329">
        <w:tc>
          <w:tcPr>
            <w:tcW w:w="702" w:type="dxa"/>
            <w:vAlign w:val="center"/>
          </w:tcPr>
          <w:p w14:paraId="3AF0071A" w14:textId="77777777" w:rsidR="005A2420" w:rsidRPr="00E30212" w:rsidRDefault="005A2420" w:rsidP="00F92AA4">
            <w:pPr>
              <w:jc w:val="center"/>
              <w:rPr>
                <w:sz w:val="20"/>
                <w:szCs w:val="20"/>
              </w:rPr>
            </w:pPr>
            <w:r w:rsidRPr="00E30212">
              <w:rPr>
                <w:sz w:val="20"/>
                <w:szCs w:val="20"/>
              </w:rPr>
              <w:t>13.</w:t>
            </w:r>
          </w:p>
        </w:tc>
        <w:tc>
          <w:tcPr>
            <w:tcW w:w="7798" w:type="dxa"/>
            <w:vAlign w:val="center"/>
          </w:tcPr>
          <w:p w14:paraId="254D4D95" w14:textId="77777777" w:rsidR="005A2420" w:rsidRPr="00E30212" w:rsidRDefault="005A2420" w:rsidP="00F92AA4">
            <w:pPr>
              <w:rPr>
                <w:sz w:val="20"/>
                <w:szCs w:val="20"/>
              </w:rPr>
            </w:pPr>
            <w:r w:rsidRPr="00E30212">
              <w:rPr>
                <w:sz w:val="20"/>
                <w:szCs w:val="20"/>
              </w:rPr>
              <w:t xml:space="preserve">Przyrost naturalny </w:t>
            </w:r>
          </w:p>
        </w:tc>
        <w:tc>
          <w:tcPr>
            <w:tcW w:w="690" w:type="dxa"/>
            <w:vAlign w:val="center"/>
          </w:tcPr>
          <w:p w14:paraId="21A61E81" w14:textId="77777777" w:rsidR="005A2420" w:rsidRPr="00E30212" w:rsidRDefault="005A2420" w:rsidP="00F92AA4">
            <w:pPr>
              <w:jc w:val="center"/>
              <w:rPr>
                <w:sz w:val="20"/>
                <w:szCs w:val="20"/>
              </w:rPr>
            </w:pPr>
            <w:r w:rsidRPr="00E30212">
              <w:rPr>
                <w:sz w:val="20"/>
                <w:szCs w:val="20"/>
              </w:rPr>
              <w:t>2</w:t>
            </w:r>
          </w:p>
        </w:tc>
      </w:tr>
      <w:tr w:rsidR="005A2420" w:rsidRPr="00E30212" w14:paraId="0838A02D" w14:textId="77777777" w:rsidTr="00544329">
        <w:tc>
          <w:tcPr>
            <w:tcW w:w="702" w:type="dxa"/>
            <w:vAlign w:val="center"/>
          </w:tcPr>
          <w:p w14:paraId="2A017FF3" w14:textId="77777777" w:rsidR="005A2420" w:rsidRPr="00E30212" w:rsidRDefault="005A2420" w:rsidP="00F92AA4">
            <w:pPr>
              <w:jc w:val="center"/>
              <w:rPr>
                <w:sz w:val="20"/>
                <w:szCs w:val="20"/>
              </w:rPr>
            </w:pPr>
            <w:r w:rsidRPr="00E30212">
              <w:rPr>
                <w:sz w:val="20"/>
                <w:szCs w:val="20"/>
              </w:rPr>
              <w:t>14.</w:t>
            </w:r>
          </w:p>
        </w:tc>
        <w:tc>
          <w:tcPr>
            <w:tcW w:w="7798" w:type="dxa"/>
            <w:vAlign w:val="center"/>
          </w:tcPr>
          <w:p w14:paraId="16965789" w14:textId="77777777" w:rsidR="005A2420" w:rsidRPr="00E30212" w:rsidRDefault="005A2420" w:rsidP="00F92AA4">
            <w:pPr>
              <w:rPr>
                <w:sz w:val="20"/>
                <w:szCs w:val="20"/>
              </w:rPr>
            </w:pPr>
            <w:r w:rsidRPr="00E30212">
              <w:rPr>
                <w:sz w:val="20"/>
                <w:szCs w:val="20"/>
              </w:rPr>
              <w:t xml:space="preserve">Procedura „Niebieskie Karty” </w:t>
            </w:r>
          </w:p>
        </w:tc>
        <w:tc>
          <w:tcPr>
            <w:tcW w:w="690" w:type="dxa"/>
            <w:vAlign w:val="center"/>
          </w:tcPr>
          <w:p w14:paraId="20A8D679" w14:textId="77777777" w:rsidR="005A2420" w:rsidRPr="00E30212" w:rsidRDefault="005A2420" w:rsidP="00F92AA4">
            <w:pPr>
              <w:jc w:val="center"/>
              <w:rPr>
                <w:sz w:val="20"/>
                <w:szCs w:val="20"/>
              </w:rPr>
            </w:pPr>
            <w:r w:rsidRPr="00E30212">
              <w:rPr>
                <w:sz w:val="20"/>
                <w:szCs w:val="20"/>
              </w:rPr>
              <w:t>3</w:t>
            </w:r>
          </w:p>
        </w:tc>
      </w:tr>
      <w:tr w:rsidR="005A2420" w:rsidRPr="00E30212" w14:paraId="0E0839FF" w14:textId="77777777" w:rsidTr="00544329">
        <w:tc>
          <w:tcPr>
            <w:tcW w:w="702" w:type="dxa"/>
            <w:vAlign w:val="center"/>
          </w:tcPr>
          <w:p w14:paraId="7F658502" w14:textId="77777777" w:rsidR="005A2420" w:rsidRPr="00E30212" w:rsidRDefault="005A2420" w:rsidP="00F92AA4">
            <w:pPr>
              <w:jc w:val="center"/>
              <w:rPr>
                <w:sz w:val="20"/>
                <w:szCs w:val="20"/>
              </w:rPr>
            </w:pPr>
            <w:r w:rsidRPr="00E30212">
              <w:rPr>
                <w:sz w:val="20"/>
                <w:szCs w:val="20"/>
              </w:rPr>
              <w:t>15.</w:t>
            </w:r>
          </w:p>
        </w:tc>
        <w:tc>
          <w:tcPr>
            <w:tcW w:w="7798" w:type="dxa"/>
            <w:vAlign w:val="center"/>
          </w:tcPr>
          <w:p w14:paraId="74AC9370" w14:textId="77777777" w:rsidR="005A2420" w:rsidRPr="00E30212" w:rsidRDefault="005A2420" w:rsidP="00F92AA4">
            <w:pPr>
              <w:rPr>
                <w:sz w:val="20"/>
                <w:szCs w:val="20"/>
              </w:rPr>
            </w:pPr>
            <w:r w:rsidRPr="00E30212">
              <w:rPr>
                <w:sz w:val="20"/>
                <w:szCs w:val="20"/>
              </w:rPr>
              <w:t xml:space="preserve">Przestępczość </w:t>
            </w:r>
          </w:p>
        </w:tc>
        <w:tc>
          <w:tcPr>
            <w:tcW w:w="690" w:type="dxa"/>
            <w:vAlign w:val="center"/>
          </w:tcPr>
          <w:p w14:paraId="1BA11751" w14:textId="77777777" w:rsidR="005A2420" w:rsidRPr="00E30212" w:rsidRDefault="005A2420" w:rsidP="00F92AA4">
            <w:pPr>
              <w:jc w:val="center"/>
              <w:rPr>
                <w:sz w:val="20"/>
                <w:szCs w:val="20"/>
              </w:rPr>
            </w:pPr>
            <w:r w:rsidRPr="00E30212">
              <w:rPr>
                <w:sz w:val="20"/>
                <w:szCs w:val="20"/>
              </w:rPr>
              <w:t>3</w:t>
            </w:r>
          </w:p>
        </w:tc>
      </w:tr>
      <w:tr w:rsidR="005A2420" w:rsidRPr="00E30212" w14:paraId="0556B904" w14:textId="77777777" w:rsidTr="00544329">
        <w:tc>
          <w:tcPr>
            <w:tcW w:w="702" w:type="dxa"/>
            <w:vAlign w:val="center"/>
          </w:tcPr>
          <w:p w14:paraId="6CA5AE9F" w14:textId="77777777" w:rsidR="005A2420" w:rsidRPr="00E30212" w:rsidRDefault="005A2420" w:rsidP="00F92AA4">
            <w:pPr>
              <w:jc w:val="center"/>
              <w:rPr>
                <w:sz w:val="20"/>
                <w:szCs w:val="20"/>
              </w:rPr>
            </w:pPr>
            <w:r w:rsidRPr="00E30212">
              <w:rPr>
                <w:sz w:val="20"/>
                <w:szCs w:val="20"/>
              </w:rPr>
              <w:t>16.</w:t>
            </w:r>
          </w:p>
        </w:tc>
        <w:tc>
          <w:tcPr>
            <w:tcW w:w="7798" w:type="dxa"/>
            <w:vAlign w:val="center"/>
          </w:tcPr>
          <w:p w14:paraId="2B28F270" w14:textId="77777777" w:rsidR="005A2420" w:rsidRPr="00E30212" w:rsidRDefault="005A2420" w:rsidP="00F92AA4">
            <w:pPr>
              <w:rPr>
                <w:sz w:val="20"/>
                <w:szCs w:val="20"/>
              </w:rPr>
            </w:pPr>
            <w:r w:rsidRPr="00E30212">
              <w:rPr>
                <w:sz w:val="20"/>
                <w:szCs w:val="20"/>
              </w:rPr>
              <w:t xml:space="preserve">Wynik egzaminu gimnazjalnego </w:t>
            </w:r>
          </w:p>
        </w:tc>
        <w:tc>
          <w:tcPr>
            <w:tcW w:w="690" w:type="dxa"/>
            <w:vAlign w:val="center"/>
          </w:tcPr>
          <w:p w14:paraId="5CE98316" w14:textId="77777777" w:rsidR="005A2420" w:rsidRPr="00E30212" w:rsidRDefault="005A2420" w:rsidP="00F92AA4">
            <w:pPr>
              <w:jc w:val="center"/>
              <w:rPr>
                <w:sz w:val="20"/>
                <w:szCs w:val="20"/>
              </w:rPr>
            </w:pPr>
            <w:r w:rsidRPr="00E30212">
              <w:rPr>
                <w:sz w:val="20"/>
                <w:szCs w:val="20"/>
              </w:rPr>
              <w:t>1</w:t>
            </w:r>
          </w:p>
        </w:tc>
      </w:tr>
      <w:tr w:rsidR="005A2420" w:rsidRPr="00E30212" w14:paraId="0D390385" w14:textId="77777777" w:rsidTr="00544329">
        <w:tc>
          <w:tcPr>
            <w:tcW w:w="702" w:type="dxa"/>
            <w:vAlign w:val="center"/>
          </w:tcPr>
          <w:p w14:paraId="6B046FA5" w14:textId="77777777" w:rsidR="005A2420" w:rsidRPr="00E30212" w:rsidRDefault="005A2420" w:rsidP="00F92AA4">
            <w:pPr>
              <w:jc w:val="center"/>
              <w:rPr>
                <w:sz w:val="20"/>
                <w:szCs w:val="20"/>
              </w:rPr>
            </w:pPr>
            <w:r w:rsidRPr="00E30212">
              <w:rPr>
                <w:sz w:val="20"/>
                <w:szCs w:val="20"/>
              </w:rPr>
              <w:t>17.</w:t>
            </w:r>
          </w:p>
        </w:tc>
        <w:tc>
          <w:tcPr>
            <w:tcW w:w="7798" w:type="dxa"/>
            <w:vAlign w:val="center"/>
          </w:tcPr>
          <w:p w14:paraId="243BF8B1" w14:textId="77777777" w:rsidR="005A2420" w:rsidRPr="00E30212" w:rsidRDefault="005A2420" w:rsidP="00F92AA4">
            <w:pPr>
              <w:rPr>
                <w:sz w:val="20"/>
                <w:szCs w:val="20"/>
              </w:rPr>
            </w:pPr>
            <w:r w:rsidRPr="00E30212">
              <w:rPr>
                <w:sz w:val="20"/>
                <w:szCs w:val="20"/>
              </w:rPr>
              <w:t xml:space="preserve">Wynik egzaminu po 6 klasie szkoły podstawowej </w:t>
            </w:r>
          </w:p>
        </w:tc>
        <w:tc>
          <w:tcPr>
            <w:tcW w:w="690" w:type="dxa"/>
            <w:vAlign w:val="center"/>
          </w:tcPr>
          <w:p w14:paraId="2BC05992" w14:textId="77777777" w:rsidR="005A2420" w:rsidRPr="00E30212" w:rsidRDefault="005A2420" w:rsidP="00F92AA4">
            <w:pPr>
              <w:jc w:val="center"/>
              <w:rPr>
                <w:sz w:val="20"/>
                <w:szCs w:val="20"/>
              </w:rPr>
            </w:pPr>
            <w:r w:rsidRPr="00E30212">
              <w:rPr>
                <w:sz w:val="20"/>
                <w:szCs w:val="20"/>
              </w:rPr>
              <w:t>1</w:t>
            </w:r>
          </w:p>
        </w:tc>
      </w:tr>
      <w:tr w:rsidR="005A2420" w:rsidRPr="00E30212" w14:paraId="2042FC82" w14:textId="77777777" w:rsidTr="00544329">
        <w:tc>
          <w:tcPr>
            <w:tcW w:w="702" w:type="dxa"/>
            <w:vAlign w:val="center"/>
          </w:tcPr>
          <w:p w14:paraId="5F48B1BF" w14:textId="77777777" w:rsidR="005A2420" w:rsidRPr="00E30212" w:rsidRDefault="005A2420" w:rsidP="00F92AA4">
            <w:pPr>
              <w:jc w:val="center"/>
              <w:rPr>
                <w:sz w:val="20"/>
                <w:szCs w:val="20"/>
              </w:rPr>
            </w:pPr>
            <w:r w:rsidRPr="00E30212">
              <w:rPr>
                <w:sz w:val="20"/>
                <w:szCs w:val="20"/>
              </w:rPr>
              <w:t>18.</w:t>
            </w:r>
          </w:p>
        </w:tc>
        <w:tc>
          <w:tcPr>
            <w:tcW w:w="7798" w:type="dxa"/>
            <w:vAlign w:val="center"/>
          </w:tcPr>
          <w:p w14:paraId="02D7E194" w14:textId="77777777" w:rsidR="005A2420" w:rsidRPr="00E30212" w:rsidRDefault="005A2420" w:rsidP="00F92AA4">
            <w:pPr>
              <w:rPr>
                <w:sz w:val="20"/>
                <w:szCs w:val="20"/>
              </w:rPr>
            </w:pPr>
            <w:r w:rsidRPr="00E30212">
              <w:rPr>
                <w:sz w:val="20"/>
                <w:szCs w:val="20"/>
              </w:rPr>
              <w:t xml:space="preserve">Frekwencja w wyborach samorządowych </w:t>
            </w:r>
          </w:p>
        </w:tc>
        <w:tc>
          <w:tcPr>
            <w:tcW w:w="690" w:type="dxa"/>
            <w:vAlign w:val="center"/>
          </w:tcPr>
          <w:p w14:paraId="2EF5A18A" w14:textId="77777777" w:rsidR="005A2420" w:rsidRPr="00E30212" w:rsidRDefault="005A2420" w:rsidP="00F92AA4">
            <w:pPr>
              <w:jc w:val="center"/>
              <w:rPr>
                <w:sz w:val="20"/>
                <w:szCs w:val="20"/>
              </w:rPr>
            </w:pPr>
            <w:r w:rsidRPr="00E30212">
              <w:rPr>
                <w:sz w:val="20"/>
                <w:szCs w:val="20"/>
              </w:rPr>
              <w:t>1</w:t>
            </w:r>
          </w:p>
        </w:tc>
      </w:tr>
      <w:tr w:rsidR="005A2420" w:rsidRPr="00E30212" w14:paraId="6930AA89" w14:textId="77777777" w:rsidTr="00544329">
        <w:tc>
          <w:tcPr>
            <w:tcW w:w="702" w:type="dxa"/>
            <w:vAlign w:val="center"/>
          </w:tcPr>
          <w:p w14:paraId="44DDDBBF" w14:textId="77777777" w:rsidR="005A2420" w:rsidRPr="00E30212" w:rsidRDefault="005A2420" w:rsidP="00F92AA4">
            <w:pPr>
              <w:jc w:val="center"/>
              <w:rPr>
                <w:sz w:val="20"/>
                <w:szCs w:val="20"/>
              </w:rPr>
            </w:pPr>
            <w:r w:rsidRPr="00E30212">
              <w:rPr>
                <w:sz w:val="20"/>
                <w:szCs w:val="20"/>
              </w:rPr>
              <w:t>19.</w:t>
            </w:r>
          </w:p>
        </w:tc>
        <w:tc>
          <w:tcPr>
            <w:tcW w:w="7798" w:type="dxa"/>
            <w:vAlign w:val="center"/>
          </w:tcPr>
          <w:p w14:paraId="0E440408" w14:textId="77777777" w:rsidR="005A2420" w:rsidRPr="00E30212" w:rsidRDefault="005A2420" w:rsidP="00F92AA4">
            <w:pPr>
              <w:rPr>
                <w:sz w:val="20"/>
                <w:szCs w:val="20"/>
              </w:rPr>
            </w:pPr>
            <w:r w:rsidRPr="00E30212">
              <w:rPr>
                <w:sz w:val="20"/>
                <w:szCs w:val="20"/>
              </w:rPr>
              <w:t xml:space="preserve">Liczba organizacji pozarządowych biorących udział w konkursach </w:t>
            </w:r>
          </w:p>
        </w:tc>
        <w:tc>
          <w:tcPr>
            <w:tcW w:w="690" w:type="dxa"/>
            <w:vAlign w:val="center"/>
          </w:tcPr>
          <w:p w14:paraId="625B71FC" w14:textId="77777777" w:rsidR="005A2420" w:rsidRPr="00E30212" w:rsidRDefault="005A2420" w:rsidP="00F92AA4">
            <w:pPr>
              <w:jc w:val="center"/>
              <w:rPr>
                <w:sz w:val="20"/>
                <w:szCs w:val="20"/>
              </w:rPr>
            </w:pPr>
            <w:r w:rsidRPr="00E30212">
              <w:rPr>
                <w:sz w:val="20"/>
                <w:szCs w:val="20"/>
              </w:rPr>
              <w:t>1</w:t>
            </w:r>
          </w:p>
        </w:tc>
      </w:tr>
      <w:tr w:rsidR="005A2420" w:rsidRPr="00E30212" w14:paraId="68BEED42" w14:textId="77777777" w:rsidTr="00544329">
        <w:tc>
          <w:tcPr>
            <w:tcW w:w="702" w:type="dxa"/>
            <w:vAlign w:val="center"/>
          </w:tcPr>
          <w:p w14:paraId="0B0B2962" w14:textId="77777777" w:rsidR="005A2420" w:rsidRPr="00E30212" w:rsidRDefault="005A2420" w:rsidP="00F92AA4">
            <w:pPr>
              <w:jc w:val="center"/>
              <w:rPr>
                <w:sz w:val="20"/>
                <w:szCs w:val="20"/>
              </w:rPr>
            </w:pPr>
            <w:r w:rsidRPr="00E30212">
              <w:rPr>
                <w:sz w:val="20"/>
                <w:szCs w:val="20"/>
              </w:rPr>
              <w:t>20.</w:t>
            </w:r>
          </w:p>
        </w:tc>
        <w:tc>
          <w:tcPr>
            <w:tcW w:w="7798" w:type="dxa"/>
            <w:vAlign w:val="center"/>
          </w:tcPr>
          <w:p w14:paraId="463F3F63" w14:textId="77777777" w:rsidR="005A2420" w:rsidRPr="00E30212" w:rsidRDefault="005A2420" w:rsidP="00F92AA4">
            <w:pPr>
              <w:rPr>
                <w:sz w:val="20"/>
                <w:szCs w:val="20"/>
              </w:rPr>
            </w:pPr>
            <w:r w:rsidRPr="00E30212">
              <w:rPr>
                <w:sz w:val="20"/>
                <w:szCs w:val="20"/>
              </w:rPr>
              <w:t xml:space="preserve">Obciążenie demograficzne </w:t>
            </w:r>
          </w:p>
        </w:tc>
        <w:tc>
          <w:tcPr>
            <w:tcW w:w="690" w:type="dxa"/>
            <w:vAlign w:val="center"/>
          </w:tcPr>
          <w:p w14:paraId="036F87F1" w14:textId="77777777" w:rsidR="005A2420" w:rsidRPr="00E30212" w:rsidRDefault="005A2420" w:rsidP="00F92AA4">
            <w:pPr>
              <w:jc w:val="center"/>
              <w:rPr>
                <w:sz w:val="20"/>
                <w:szCs w:val="20"/>
              </w:rPr>
            </w:pPr>
            <w:r w:rsidRPr="00E30212">
              <w:rPr>
                <w:sz w:val="20"/>
                <w:szCs w:val="20"/>
              </w:rPr>
              <w:t>2</w:t>
            </w:r>
          </w:p>
        </w:tc>
      </w:tr>
      <w:tr w:rsidR="005A2420" w:rsidRPr="00E30212" w14:paraId="0F912028" w14:textId="77777777" w:rsidTr="00544329">
        <w:tc>
          <w:tcPr>
            <w:tcW w:w="702" w:type="dxa"/>
            <w:vAlign w:val="center"/>
          </w:tcPr>
          <w:p w14:paraId="7FA0EC77" w14:textId="77777777" w:rsidR="005A2420" w:rsidRPr="00E30212" w:rsidRDefault="005A2420" w:rsidP="00F92AA4">
            <w:pPr>
              <w:jc w:val="center"/>
              <w:rPr>
                <w:sz w:val="20"/>
                <w:szCs w:val="20"/>
              </w:rPr>
            </w:pPr>
            <w:r w:rsidRPr="00E30212">
              <w:rPr>
                <w:sz w:val="20"/>
                <w:szCs w:val="20"/>
              </w:rPr>
              <w:t>21.</w:t>
            </w:r>
          </w:p>
        </w:tc>
        <w:tc>
          <w:tcPr>
            <w:tcW w:w="7798" w:type="dxa"/>
            <w:vAlign w:val="center"/>
          </w:tcPr>
          <w:p w14:paraId="5B9C9C39" w14:textId="77777777" w:rsidR="005A2420" w:rsidRPr="00E30212" w:rsidRDefault="005A2420" w:rsidP="00F92AA4">
            <w:pPr>
              <w:rPr>
                <w:sz w:val="20"/>
                <w:szCs w:val="20"/>
              </w:rPr>
            </w:pPr>
            <w:r w:rsidRPr="00E30212">
              <w:rPr>
                <w:sz w:val="20"/>
                <w:szCs w:val="20"/>
              </w:rPr>
              <w:t xml:space="preserve">Liczba zlikwidowanych podmiotów gospodarczych </w:t>
            </w:r>
          </w:p>
        </w:tc>
        <w:tc>
          <w:tcPr>
            <w:tcW w:w="690" w:type="dxa"/>
            <w:vAlign w:val="center"/>
          </w:tcPr>
          <w:p w14:paraId="22220E73" w14:textId="77777777" w:rsidR="005A2420" w:rsidRPr="00E30212" w:rsidRDefault="005A2420" w:rsidP="00F92AA4">
            <w:pPr>
              <w:jc w:val="center"/>
              <w:rPr>
                <w:sz w:val="20"/>
                <w:szCs w:val="20"/>
              </w:rPr>
            </w:pPr>
            <w:r w:rsidRPr="00E30212">
              <w:rPr>
                <w:sz w:val="20"/>
                <w:szCs w:val="20"/>
              </w:rPr>
              <w:t>1</w:t>
            </w:r>
          </w:p>
        </w:tc>
      </w:tr>
      <w:tr w:rsidR="005A2420" w:rsidRPr="00E30212" w14:paraId="5B04C54F" w14:textId="77777777" w:rsidTr="00544329">
        <w:tc>
          <w:tcPr>
            <w:tcW w:w="702" w:type="dxa"/>
            <w:vAlign w:val="center"/>
          </w:tcPr>
          <w:p w14:paraId="4D8B51DB" w14:textId="77777777" w:rsidR="005A2420" w:rsidRPr="00E30212" w:rsidRDefault="005A2420" w:rsidP="00F92AA4">
            <w:pPr>
              <w:jc w:val="center"/>
              <w:rPr>
                <w:sz w:val="20"/>
                <w:szCs w:val="20"/>
              </w:rPr>
            </w:pPr>
            <w:r w:rsidRPr="00E30212">
              <w:rPr>
                <w:sz w:val="20"/>
                <w:szCs w:val="20"/>
              </w:rPr>
              <w:t>22.</w:t>
            </w:r>
          </w:p>
        </w:tc>
        <w:tc>
          <w:tcPr>
            <w:tcW w:w="7798" w:type="dxa"/>
            <w:vAlign w:val="center"/>
          </w:tcPr>
          <w:p w14:paraId="74D028A7" w14:textId="77777777" w:rsidR="005A2420" w:rsidRPr="00E30212" w:rsidRDefault="005A2420" w:rsidP="00F92AA4">
            <w:pPr>
              <w:rPr>
                <w:sz w:val="20"/>
                <w:szCs w:val="20"/>
              </w:rPr>
            </w:pPr>
            <w:r w:rsidRPr="00E30212">
              <w:rPr>
                <w:sz w:val="20"/>
                <w:szCs w:val="20"/>
              </w:rPr>
              <w:t xml:space="preserve">Liczba wszystkich podmiotów gospodarczych </w:t>
            </w:r>
          </w:p>
        </w:tc>
        <w:tc>
          <w:tcPr>
            <w:tcW w:w="690" w:type="dxa"/>
            <w:vAlign w:val="center"/>
          </w:tcPr>
          <w:p w14:paraId="70B496A9" w14:textId="77777777" w:rsidR="005A2420" w:rsidRPr="00E30212" w:rsidRDefault="005A2420" w:rsidP="00F92AA4">
            <w:pPr>
              <w:jc w:val="center"/>
              <w:rPr>
                <w:sz w:val="20"/>
                <w:szCs w:val="20"/>
              </w:rPr>
            </w:pPr>
            <w:r w:rsidRPr="00E30212">
              <w:rPr>
                <w:sz w:val="20"/>
                <w:szCs w:val="20"/>
              </w:rPr>
              <w:t>1</w:t>
            </w:r>
          </w:p>
        </w:tc>
      </w:tr>
      <w:tr w:rsidR="005A2420" w:rsidRPr="00E30212" w14:paraId="7B7A534B" w14:textId="77777777" w:rsidTr="00544329">
        <w:tc>
          <w:tcPr>
            <w:tcW w:w="702" w:type="dxa"/>
            <w:vAlign w:val="center"/>
          </w:tcPr>
          <w:p w14:paraId="61124189" w14:textId="77777777" w:rsidR="005A2420" w:rsidRPr="00E30212" w:rsidRDefault="005A2420" w:rsidP="00F92AA4">
            <w:pPr>
              <w:jc w:val="center"/>
              <w:rPr>
                <w:sz w:val="20"/>
                <w:szCs w:val="20"/>
              </w:rPr>
            </w:pPr>
            <w:r w:rsidRPr="00E30212">
              <w:rPr>
                <w:sz w:val="20"/>
                <w:szCs w:val="20"/>
              </w:rPr>
              <w:t>23.</w:t>
            </w:r>
          </w:p>
        </w:tc>
        <w:tc>
          <w:tcPr>
            <w:tcW w:w="7798" w:type="dxa"/>
            <w:vAlign w:val="center"/>
          </w:tcPr>
          <w:p w14:paraId="14691CCF" w14:textId="77777777" w:rsidR="005A2420" w:rsidRPr="00E30212" w:rsidRDefault="005A2420" w:rsidP="00F92AA4">
            <w:pPr>
              <w:rPr>
                <w:sz w:val="20"/>
                <w:szCs w:val="20"/>
              </w:rPr>
            </w:pPr>
            <w:r w:rsidRPr="00E30212">
              <w:rPr>
                <w:sz w:val="20"/>
                <w:szCs w:val="20"/>
              </w:rPr>
              <w:t xml:space="preserve">Liczba nowych podmiotów gospodarczych </w:t>
            </w:r>
          </w:p>
        </w:tc>
        <w:tc>
          <w:tcPr>
            <w:tcW w:w="690" w:type="dxa"/>
            <w:vAlign w:val="center"/>
          </w:tcPr>
          <w:p w14:paraId="1F82E43A" w14:textId="77777777" w:rsidR="005A2420" w:rsidRPr="00E30212" w:rsidRDefault="005A2420" w:rsidP="00F92AA4">
            <w:pPr>
              <w:jc w:val="center"/>
              <w:rPr>
                <w:sz w:val="20"/>
                <w:szCs w:val="20"/>
              </w:rPr>
            </w:pPr>
            <w:r w:rsidRPr="00E30212">
              <w:rPr>
                <w:sz w:val="20"/>
                <w:szCs w:val="20"/>
              </w:rPr>
              <w:t>1</w:t>
            </w:r>
          </w:p>
        </w:tc>
      </w:tr>
      <w:tr w:rsidR="005A2420" w:rsidRPr="00E30212" w14:paraId="3FEF8D9E" w14:textId="77777777" w:rsidTr="00544329">
        <w:tc>
          <w:tcPr>
            <w:tcW w:w="702" w:type="dxa"/>
            <w:vAlign w:val="center"/>
          </w:tcPr>
          <w:p w14:paraId="1EDA565D" w14:textId="77777777" w:rsidR="005A2420" w:rsidRPr="00E30212" w:rsidRDefault="005A2420" w:rsidP="00F92AA4">
            <w:pPr>
              <w:jc w:val="center"/>
              <w:rPr>
                <w:sz w:val="20"/>
                <w:szCs w:val="20"/>
              </w:rPr>
            </w:pPr>
            <w:r w:rsidRPr="00E30212">
              <w:rPr>
                <w:sz w:val="20"/>
                <w:szCs w:val="20"/>
              </w:rPr>
              <w:t>24.</w:t>
            </w:r>
          </w:p>
        </w:tc>
        <w:tc>
          <w:tcPr>
            <w:tcW w:w="7798" w:type="dxa"/>
            <w:vAlign w:val="center"/>
          </w:tcPr>
          <w:p w14:paraId="392FF9D7" w14:textId="77777777" w:rsidR="005A2420" w:rsidRPr="00E30212" w:rsidRDefault="005A2420" w:rsidP="00F92AA4">
            <w:pPr>
              <w:rPr>
                <w:sz w:val="20"/>
                <w:szCs w:val="20"/>
              </w:rPr>
            </w:pPr>
            <w:r w:rsidRPr="00E30212">
              <w:rPr>
                <w:sz w:val="20"/>
                <w:szCs w:val="20"/>
              </w:rPr>
              <w:t xml:space="preserve">Liczba lokali socjalnych na 100 osób </w:t>
            </w:r>
          </w:p>
        </w:tc>
        <w:tc>
          <w:tcPr>
            <w:tcW w:w="690" w:type="dxa"/>
            <w:vAlign w:val="center"/>
          </w:tcPr>
          <w:p w14:paraId="00906E99" w14:textId="77777777" w:rsidR="005A2420" w:rsidRPr="00E30212" w:rsidRDefault="005A2420" w:rsidP="00F92AA4">
            <w:pPr>
              <w:jc w:val="center"/>
              <w:rPr>
                <w:sz w:val="20"/>
                <w:szCs w:val="20"/>
              </w:rPr>
            </w:pPr>
            <w:r w:rsidRPr="00E30212">
              <w:rPr>
                <w:sz w:val="20"/>
                <w:szCs w:val="20"/>
              </w:rPr>
              <w:t>1</w:t>
            </w:r>
          </w:p>
        </w:tc>
      </w:tr>
      <w:tr w:rsidR="005A2420" w:rsidRPr="00E30212" w14:paraId="2F00F3B9" w14:textId="77777777" w:rsidTr="00544329">
        <w:tc>
          <w:tcPr>
            <w:tcW w:w="702" w:type="dxa"/>
            <w:vAlign w:val="center"/>
          </w:tcPr>
          <w:p w14:paraId="6418BC6A" w14:textId="77777777" w:rsidR="005A2420" w:rsidRPr="00E30212" w:rsidRDefault="005A2420" w:rsidP="00F92AA4">
            <w:pPr>
              <w:jc w:val="center"/>
              <w:rPr>
                <w:sz w:val="20"/>
                <w:szCs w:val="20"/>
              </w:rPr>
            </w:pPr>
            <w:r w:rsidRPr="00E30212">
              <w:rPr>
                <w:sz w:val="20"/>
                <w:szCs w:val="20"/>
              </w:rPr>
              <w:t>25.</w:t>
            </w:r>
          </w:p>
        </w:tc>
        <w:tc>
          <w:tcPr>
            <w:tcW w:w="7798" w:type="dxa"/>
            <w:vAlign w:val="center"/>
          </w:tcPr>
          <w:p w14:paraId="240127E5" w14:textId="77777777" w:rsidR="005A2420" w:rsidRPr="00E30212" w:rsidRDefault="005A2420" w:rsidP="00F92AA4">
            <w:pPr>
              <w:rPr>
                <w:sz w:val="20"/>
                <w:szCs w:val="20"/>
              </w:rPr>
            </w:pPr>
            <w:r w:rsidRPr="00E30212">
              <w:rPr>
                <w:sz w:val="20"/>
                <w:szCs w:val="20"/>
              </w:rPr>
              <w:t xml:space="preserve">Ilość obiektów sportowych na 100 osób </w:t>
            </w:r>
          </w:p>
        </w:tc>
        <w:tc>
          <w:tcPr>
            <w:tcW w:w="690" w:type="dxa"/>
            <w:vAlign w:val="center"/>
          </w:tcPr>
          <w:p w14:paraId="5B64398E" w14:textId="77777777" w:rsidR="005A2420" w:rsidRPr="00E30212" w:rsidRDefault="005A2420" w:rsidP="00F92AA4">
            <w:pPr>
              <w:jc w:val="center"/>
              <w:rPr>
                <w:sz w:val="20"/>
                <w:szCs w:val="20"/>
              </w:rPr>
            </w:pPr>
            <w:r w:rsidRPr="00E30212">
              <w:rPr>
                <w:sz w:val="20"/>
                <w:szCs w:val="20"/>
              </w:rPr>
              <w:t>1</w:t>
            </w:r>
          </w:p>
        </w:tc>
      </w:tr>
      <w:tr w:rsidR="005A2420" w:rsidRPr="00E30212" w14:paraId="321229F7" w14:textId="77777777" w:rsidTr="00544329">
        <w:tc>
          <w:tcPr>
            <w:tcW w:w="702" w:type="dxa"/>
            <w:vAlign w:val="center"/>
          </w:tcPr>
          <w:p w14:paraId="5292D2B4" w14:textId="77777777" w:rsidR="005A2420" w:rsidRPr="00E30212" w:rsidRDefault="005A2420" w:rsidP="00F92AA4">
            <w:pPr>
              <w:jc w:val="center"/>
              <w:rPr>
                <w:sz w:val="20"/>
                <w:szCs w:val="20"/>
              </w:rPr>
            </w:pPr>
            <w:r w:rsidRPr="00E30212">
              <w:rPr>
                <w:sz w:val="20"/>
                <w:szCs w:val="20"/>
              </w:rPr>
              <w:t>26.</w:t>
            </w:r>
          </w:p>
        </w:tc>
        <w:tc>
          <w:tcPr>
            <w:tcW w:w="7798" w:type="dxa"/>
            <w:vAlign w:val="center"/>
          </w:tcPr>
          <w:p w14:paraId="65AA1CB4" w14:textId="77777777" w:rsidR="005A2420" w:rsidRPr="00E30212" w:rsidRDefault="005A2420" w:rsidP="00F92AA4">
            <w:pPr>
              <w:rPr>
                <w:sz w:val="20"/>
                <w:szCs w:val="20"/>
              </w:rPr>
            </w:pPr>
            <w:r w:rsidRPr="00E30212">
              <w:rPr>
                <w:sz w:val="20"/>
                <w:szCs w:val="20"/>
              </w:rPr>
              <w:t xml:space="preserve">Ilość podmiotów leczniczych na 100 osób </w:t>
            </w:r>
          </w:p>
        </w:tc>
        <w:tc>
          <w:tcPr>
            <w:tcW w:w="690" w:type="dxa"/>
            <w:vAlign w:val="center"/>
          </w:tcPr>
          <w:p w14:paraId="4A1C1303" w14:textId="77777777" w:rsidR="005A2420" w:rsidRPr="00E30212" w:rsidRDefault="005A2420" w:rsidP="00F92AA4">
            <w:pPr>
              <w:jc w:val="center"/>
              <w:rPr>
                <w:sz w:val="20"/>
                <w:szCs w:val="20"/>
              </w:rPr>
            </w:pPr>
            <w:r w:rsidRPr="00E30212">
              <w:rPr>
                <w:sz w:val="20"/>
                <w:szCs w:val="20"/>
              </w:rPr>
              <w:t>1</w:t>
            </w:r>
          </w:p>
        </w:tc>
      </w:tr>
      <w:tr w:rsidR="005A2420" w:rsidRPr="00E30212" w14:paraId="274591EE" w14:textId="77777777" w:rsidTr="00544329">
        <w:tc>
          <w:tcPr>
            <w:tcW w:w="702" w:type="dxa"/>
            <w:vAlign w:val="center"/>
          </w:tcPr>
          <w:p w14:paraId="7DE0B454" w14:textId="77777777" w:rsidR="005A2420" w:rsidRPr="00E30212" w:rsidRDefault="005A2420" w:rsidP="00F92AA4">
            <w:pPr>
              <w:jc w:val="center"/>
              <w:rPr>
                <w:sz w:val="20"/>
                <w:szCs w:val="20"/>
              </w:rPr>
            </w:pPr>
            <w:r w:rsidRPr="00E30212">
              <w:rPr>
                <w:sz w:val="20"/>
                <w:szCs w:val="20"/>
              </w:rPr>
              <w:t>27.</w:t>
            </w:r>
          </w:p>
        </w:tc>
        <w:tc>
          <w:tcPr>
            <w:tcW w:w="7798" w:type="dxa"/>
            <w:vAlign w:val="center"/>
          </w:tcPr>
          <w:p w14:paraId="30730549" w14:textId="77777777" w:rsidR="005A2420" w:rsidRPr="00E30212" w:rsidRDefault="005A2420" w:rsidP="00F92AA4">
            <w:pPr>
              <w:rPr>
                <w:sz w:val="20"/>
                <w:szCs w:val="20"/>
              </w:rPr>
            </w:pPr>
            <w:r w:rsidRPr="00E30212">
              <w:rPr>
                <w:sz w:val="20"/>
                <w:szCs w:val="20"/>
              </w:rPr>
              <w:t xml:space="preserve">Ilość miejsc w żłobkach na 100 dzieci do 3 roku życia </w:t>
            </w:r>
          </w:p>
        </w:tc>
        <w:tc>
          <w:tcPr>
            <w:tcW w:w="690" w:type="dxa"/>
            <w:vAlign w:val="center"/>
          </w:tcPr>
          <w:p w14:paraId="479E8448" w14:textId="77777777" w:rsidR="005A2420" w:rsidRPr="00E30212" w:rsidRDefault="005A2420" w:rsidP="00F92AA4">
            <w:pPr>
              <w:jc w:val="center"/>
              <w:rPr>
                <w:sz w:val="20"/>
                <w:szCs w:val="20"/>
              </w:rPr>
            </w:pPr>
            <w:r w:rsidRPr="00E30212">
              <w:rPr>
                <w:sz w:val="20"/>
                <w:szCs w:val="20"/>
              </w:rPr>
              <w:t>1</w:t>
            </w:r>
          </w:p>
        </w:tc>
      </w:tr>
      <w:tr w:rsidR="005A2420" w:rsidRPr="00E30212" w14:paraId="7EC8D9FD" w14:textId="77777777" w:rsidTr="00544329">
        <w:tc>
          <w:tcPr>
            <w:tcW w:w="702" w:type="dxa"/>
            <w:vAlign w:val="center"/>
          </w:tcPr>
          <w:p w14:paraId="32FC0DC9" w14:textId="77777777" w:rsidR="005A2420" w:rsidRPr="00E30212" w:rsidRDefault="005A2420" w:rsidP="00F92AA4">
            <w:pPr>
              <w:jc w:val="center"/>
              <w:rPr>
                <w:sz w:val="20"/>
                <w:szCs w:val="20"/>
              </w:rPr>
            </w:pPr>
            <w:r w:rsidRPr="00E30212">
              <w:rPr>
                <w:sz w:val="20"/>
                <w:szCs w:val="20"/>
              </w:rPr>
              <w:t>28.</w:t>
            </w:r>
          </w:p>
        </w:tc>
        <w:tc>
          <w:tcPr>
            <w:tcW w:w="7798" w:type="dxa"/>
            <w:vAlign w:val="center"/>
          </w:tcPr>
          <w:p w14:paraId="0AA9A5F3" w14:textId="77777777" w:rsidR="005A2420" w:rsidRPr="00E30212" w:rsidRDefault="005A2420" w:rsidP="00F92AA4">
            <w:pPr>
              <w:rPr>
                <w:sz w:val="20"/>
                <w:szCs w:val="20"/>
              </w:rPr>
            </w:pPr>
            <w:r w:rsidRPr="00E30212">
              <w:rPr>
                <w:sz w:val="20"/>
                <w:szCs w:val="20"/>
              </w:rPr>
              <w:t xml:space="preserve">Liczba obiektów zabytkowych </w:t>
            </w:r>
          </w:p>
        </w:tc>
        <w:tc>
          <w:tcPr>
            <w:tcW w:w="690" w:type="dxa"/>
            <w:vAlign w:val="center"/>
          </w:tcPr>
          <w:p w14:paraId="29500B29" w14:textId="77777777" w:rsidR="005A2420" w:rsidRPr="00E30212" w:rsidRDefault="005A2420" w:rsidP="00F92AA4">
            <w:pPr>
              <w:jc w:val="center"/>
              <w:rPr>
                <w:sz w:val="20"/>
                <w:szCs w:val="20"/>
              </w:rPr>
            </w:pPr>
            <w:r w:rsidRPr="00E30212">
              <w:rPr>
                <w:sz w:val="20"/>
                <w:szCs w:val="20"/>
              </w:rPr>
              <w:t>1</w:t>
            </w:r>
          </w:p>
        </w:tc>
      </w:tr>
      <w:tr w:rsidR="005A2420" w:rsidRPr="00E30212" w14:paraId="4A9A17EF" w14:textId="77777777" w:rsidTr="00544329">
        <w:tc>
          <w:tcPr>
            <w:tcW w:w="702" w:type="dxa"/>
            <w:vAlign w:val="center"/>
          </w:tcPr>
          <w:p w14:paraId="7A5FC4A7" w14:textId="77777777" w:rsidR="005A2420" w:rsidRPr="00E30212" w:rsidRDefault="005A2420" w:rsidP="00F92AA4">
            <w:pPr>
              <w:jc w:val="center"/>
              <w:rPr>
                <w:sz w:val="20"/>
                <w:szCs w:val="20"/>
              </w:rPr>
            </w:pPr>
            <w:r w:rsidRPr="00E30212">
              <w:rPr>
                <w:sz w:val="20"/>
                <w:szCs w:val="20"/>
              </w:rPr>
              <w:t>29.</w:t>
            </w:r>
          </w:p>
        </w:tc>
        <w:tc>
          <w:tcPr>
            <w:tcW w:w="7798" w:type="dxa"/>
            <w:vAlign w:val="center"/>
          </w:tcPr>
          <w:p w14:paraId="470843B6" w14:textId="77777777" w:rsidR="005A2420" w:rsidRPr="00E30212" w:rsidRDefault="005A2420" w:rsidP="00F92AA4">
            <w:pPr>
              <w:rPr>
                <w:sz w:val="20"/>
                <w:szCs w:val="20"/>
              </w:rPr>
            </w:pPr>
            <w:r w:rsidRPr="00E30212">
              <w:rPr>
                <w:sz w:val="20"/>
                <w:szCs w:val="20"/>
              </w:rPr>
              <w:t xml:space="preserve">Średnioroczne stężenie B(a)P </w:t>
            </w:r>
          </w:p>
        </w:tc>
        <w:tc>
          <w:tcPr>
            <w:tcW w:w="690" w:type="dxa"/>
            <w:vAlign w:val="center"/>
          </w:tcPr>
          <w:p w14:paraId="231A7F80" w14:textId="77777777" w:rsidR="005A2420" w:rsidRPr="00E30212" w:rsidRDefault="005A2420" w:rsidP="00F92AA4">
            <w:pPr>
              <w:jc w:val="center"/>
              <w:rPr>
                <w:sz w:val="20"/>
                <w:szCs w:val="20"/>
              </w:rPr>
            </w:pPr>
            <w:r w:rsidRPr="00E30212">
              <w:rPr>
                <w:sz w:val="20"/>
                <w:szCs w:val="20"/>
              </w:rPr>
              <w:t>1</w:t>
            </w:r>
          </w:p>
        </w:tc>
      </w:tr>
      <w:tr w:rsidR="005A2420" w:rsidRPr="00E30212" w14:paraId="1947CD28" w14:textId="77777777" w:rsidTr="00544329">
        <w:tc>
          <w:tcPr>
            <w:tcW w:w="702" w:type="dxa"/>
            <w:vAlign w:val="center"/>
          </w:tcPr>
          <w:p w14:paraId="1494FBC7" w14:textId="77777777" w:rsidR="005A2420" w:rsidRPr="00E30212" w:rsidRDefault="005A2420" w:rsidP="00F92AA4">
            <w:pPr>
              <w:jc w:val="center"/>
              <w:rPr>
                <w:sz w:val="20"/>
                <w:szCs w:val="20"/>
              </w:rPr>
            </w:pPr>
            <w:r w:rsidRPr="00E30212">
              <w:rPr>
                <w:sz w:val="20"/>
                <w:szCs w:val="20"/>
              </w:rPr>
              <w:t>30.</w:t>
            </w:r>
          </w:p>
        </w:tc>
        <w:tc>
          <w:tcPr>
            <w:tcW w:w="7798" w:type="dxa"/>
            <w:vAlign w:val="center"/>
          </w:tcPr>
          <w:p w14:paraId="328BAD80" w14:textId="77777777" w:rsidR="005A2420" w:rsidRPr="00E30212" w:rsidRDefault="005A2420" w:rsidP="00F92AA4">
            <w:pPr>
              <w:rPr>
                <w:sz w:val="20"/>
                <w:szCs w:val="20"/>
              </w:rPr>
            </w:pPr>
            <w:r w:rsidRPr="00E30212">
              <w:rPr>
                <w:sz w:val="20"/>
                <w:szCs w:val="20"/>
              </w:rPr>
              <w:t xml:space="preserve">Liczba dni w ciągu roku z przekroczeniami dopuszczalnych dobowych stężeń pyłu PM10 </w:t>
            </w:r>
          </w:p>
        </w:tc>
        <w:tc>
          <w:tcPr>
            <w:tcW w:w="690" w:type="dxa"/>
            <w:vAlign w:val="center"/>
          </w:tcPr>
          <w:p w14:paraId="338BE7C9" w14:textId="77777777" w:rsidR="005A2420" w:rsidRPr="00E30212" w:rsidRDefault="005A2420" w:rsidP="00F92AA4">
            <w:pPr>
              <w:jc w:val="center"/>
              <w:rPr>
                <w:sz w:val="20"/>
                <w:szCs w:val="20"/>
              </w:rPr>
            </w:pPr>
            <w:r w:rsidRPr="00E30212">
              <w:rPr>
                <w:sz w:val="20"/>
                <w:szCs w:val="20"/>
              </w:rPr>
              <w:t>1</w:t>
            </w:r>
          </w:p>
        </w:tc>
      </w:tr>
      <w:tr w:rsidR="005A2420" w:rsidRPr="00E30212" w14:paraId="61D9B03E" w14:textId="77777777" w:rsidTr="00544329">
        <w:tc>
          <w:tcPr>
            <w:tcW w:w="702" w:type="dxa"/>
            <w:vAlign w:val="center"/>
          </w:tcPr>
          <w:p w14:paraId="729647C7" w14:textId="77777777" w:rsidR="005A2420" w:rsidRPr="00E30212" w:rsidRDefault="005A2420" w:rsidP="00F92AA4">
            <w:pPr>
              <w:jc w:val="center"/>
              <w:rPr>
                <w:sz w:val="20"/>
                <w:szCs w:val="20"/>
              </w:rPr>
            </w:pPr>
            <w:r w:rsidRPr="00E30212">
              <w:rPr>
                <w:sz w:val="20"/>
                <w:szCs w:val="20"/>
              </w:rPr>
              <w:t>31.</w:t>
            </w:r>
          </w:p>
        </w:tc>
        <w:tc>
          <w:tcPr>
            <w:tcW w:w="7798" w:type="dxa"/>
            <w:vAlign w:val="center"/>
          </w:tcPr>
          <w:p w14:paraId="0A4C8BBE" w14:textId="77777777" w:rsidR="005A2420" w:rsidRPr="00E30212" w:rsidRDefault="005A2420" w:rsidP="00F92AA4">
            <w:pPr>
              <w:rPr>
                <w:sz w:val="20"/>
                <w:szCs w:val="20"/>
              </w:rPr>
            </w:pPr>
            <w:r w:rsidRPr="00E30212">
              <w:rPr>
                <w:sz w:val="20"/>
                <w:szCs w:val="20"/>
              </w:rPr>
              <w:t xml:space="preserve">Procent powierzchni osiedla na których występują przekroczenia norm hałasu, w stosunku do obszaru całego osiedla </w:t>
            </w:r>
          </w:p>
        </w:tc>
        <w:tc>
          <w:tcPr>
            <w:tcW w:w="690" w:type="dxa"/>
            <w:vAlign w:val="center"/>
          </w:tcPr>
          <w:p w14:paraId="3599A19C" w14:textId="77777777" w:rsidR="005A2420" w:rsidRPr="00E30212" w:rsidRDefault="005A2420" w:rsidP="00F92AA4">
            <w:pPr>
              <w:jc w:val="center"/>
              <w:rPr>
                <w:sz w:val="20"/>
                <w:szCs w:val="20"/>
              </w:rPr>
            </w:pPr>
            <w:r w:rsidRPr="00E30212">
              <w:rPr>
                <w:sz w:val="20"/>
                <w:szCs w:val="20"/>
              </w:rPr>
              <w:t>1</w:t>
            </w:r>
          </w:p>
        </w:tc>
      </w:tr>
    </w:tbl>
    <w:p w14:paraId="667B499B" w14:textId="535AF4F9" w:rsidR="005A2420" w:rsidRPr="00E30212" w:rsidRDefault="005A2420" w:rsidP="005A2420">
      <w:pPr>
        <w:rPr>
          <w:sz w:val="20"/>
          <w:szCs w:val="20"/>
        </w:rPr>
      </w:pPr>
      <w:r w:rsidRPr="00E30212">
        <w:rPr>
          <w:sz w:val="20"/>
          <w:szCs w:val="20"/>
        </w:rPr>
        <w:t>Źródło: Lokalny Program Rewitalizacji dla Gminy Miasta Rzeszowa do roku 2023, s. 45.</w:t>
      </w:r>
    </w:p>
    <w:p w14:paraId="2DEE5E05" w14:textId="6D23C05E" w:rsidR="00CC4D2C" w:rsidRDefault="00310E91" w:rsidP="00A02010">
      <w:pPr>
        <w:spacing w:line="312" w:lineRule="auto"/>
        <w:jc w:val="both"/>
      </w:pPr>
      <w:r>
        <w:t>Za</w:t>
      </w:r>
      <w:r w:rsidR="00B766AC">
        <w:t xml:space="preserve"> pomoc</w:t>
      </w:r>
      <w:r>
        <w:t xml:space="preserve">ą </w:t>
      </w:r>
      <w:r w:rsidR="00B766AC">
        <w:t xml:space="preserve">powyższych wskaźników </w:t>
      </w:r>
      <w:r w:rsidR="00884A61">
        <w:t xml:space="preserve">szczegółowej analizie poddano </w:t>
      </w:r>
      <w:r w:rsidR="001F019C">
        <w:t>wszystkie jednostki wyznaczone w</w:t>
      </w:r>
      <w:r>
        <w:t> </w:t>
      </w:r>
      <w:r w:rsidR="001F019C">
        <w:t>obrębie osiedli mieszkaniowych Rzeszowa.</w:t>
      </w:r>
      <w:r w:rsidR="00FA6DE7">
        <w:t xml:space="preserve"> </w:t>
      </w:r>
      <w:r w:rsidR="001F019C">
        <w:t>W</w:t>
      </w:r>
      <w:r w:rsidR="00FA6DE7">
        <w:t xml:space="preserve">yniki </w:t>
      </w:r>
      <w:r w:rsidR="001F019C">
        <w:t xml:space="preserve">analizy zestawiono </w:t>
      </w:r>
      <w:r w:rsidR="00FA6DE7">
        <w:t>w zbiorczej tabeli</w:t>
      </w:r>
      <w:r w:rsidR="001F019C">
        <w:t xml:space="preserve">, co umożliwiło wskazanie </w:t>
      </w:r>
      <w:r w:rsidR="00FA6DE7">
        <w:t xml:space="preserve">jednostki o największej koncentracji </w:t>
      </w:r>
      <w:r w:rsidR="00172C7E">
        <w:t xml:space="preserve">negatywnych </w:t>
      </w:r>
      <w:r w:rsidR="00FA6DE7">
        <w:t>zjawisk.</w:t>
      </w:r>
      <w:r w:rsidR="004D0669">
        <w:t xml:space="preserve"> </w:t>
      </w:r>
      <w:r w:rsidR="004D0669" w:rsidRPr="004D0669">
        <w:t>W t</w:t>
      </w:r>
      <w:r w:rsidR="00172C7E">
        <w:t xml:space="preserve">en </w:t>
      </w:r>
      <w:r w:rsidR="004D0669" w:rsidRPr="004D0669">
        <w:t xml:space="preserve">sposób </w:t>
      </w:r>
      <w:r w:rsidR="00172C7E">
        <w:t xml:space="preserve">wskazano </w:t>
      </w:r>
      <w:r w:rsidR="004D0669" w:rsidRPr="004D0669">
        <w:t>siedem jednostek</w:t>
      </w:r>
      <w:r w:rsidR="00172C7E">
        <w:t xml:space="preserve">, w których </w:t>
      </w:r>
      <w:r w:rsidR="00FB6497">
        <w:t xml:space="preserve">wyniki </w:t>
      </w:r>
      <w:r w:rsidR="00172C7E">
        <w:t>badanych zjawisk istotnie odbiegał</w:t>
      </w:r>
      <w:r w:rsidR="00FB6497">
        <w:t>y</w:t>
      </w:r>
      <w:r w:rsidR="00172C7E">
        <w:t xml:space="preserve"> od wartości referencyjnych</w:t>
      </w:r>
      <w:r w:rsidR="00FB6497">
        <w:t>. Tym samym w ich granicach wyznaczono</w:t>
      </w:r>
      <w:r w:rsidR="004D0669" w:rsidRPr="004D0669">
        <w:t xml:space="preserve"> obszar zdegradowany</w:t>
      </w:r>
      <w:r w:rsidR="00FB6497">
        <w:t xml:space="preserve"> Rzeszowa</w:t>
      </w:r>
      <w:r w:rsidR="004D0669" w:rsidRPr="004D0669">
        <w:t xml:space="preserve">. </w:t>
      </w:r>
      <w:r w:rsidR="00E259E1">
        <w:t>Ponieważ obszar zdegradowany spełni</w:t>
      </w:r>
      <w:r w:rsidR="00FB6497">
        <w:t>ł</w:t>
      </w:r>
      <w:r w:rsidR="00E259E1">
        <w:t xml:space="preserve"> kryteria </w:t>
      </w:r>
      <w:r w:rsidR="00FB6497">
        <w:t xml:space="preserve">koncentracji </w:t>
      </w:r>
      <w:r w:rsidR="00E259E1">
        <w:t>zawarte w Wytycznych, czyli nie przekr</w:t>
      </w:r>
      <w:r w:rsidR="00FB6497">
        <w:t xml:space="preserve">oczył wskaźnika </w:t>
      </w:r>
      <w:r w:rsidR="00E259E1">
        <w:t xml:space="preserve">20% powierzchni gminy oraz </w:t>
      </w:r>
      <w:r w:rsidR="00FB6497">
        <w:t xml:space="preserve">wskaźnika </w:t>
      </w:r>
      <w:r w:rsidR="00E259E1">
        <w:t xml:space="preserve">30% </w:t>
      </w:r>
      <w:r w:rsidR="00FB6497">
        <w:t xml:space="preserve">populacji </w:t>
      </w:r>
      <w:r w:rsidR="00E259E1">
        <w:t>miasta,</w:t>
      </w:r>
      <w:r w:rsidR="00E07932">
        <w:t xml:space="preserve"> jak równi</w:t>
      </w:r>
      <w:r>
        <w:t>eż</w:t>
      </w:r>
      <w:r w:rsidR="00E07932">
        <w:t xml:space="preserve"> </w:t>
      </w:r>
      <w:r w:rsidR="004D0669">
        <w:t xml:space="preserve">jest </w:t>
      </w:r>
      <w:r>
        <w:t xml:space="preserve">on </w:t>
      </w:r>
      <w:r w:rsidR="00E07932">
        <w:t xml:space="preserve">istotny dla </w:t>
      </w:r>
      <w:r w:rsidR="00FB6497">
        <w:t>procesów rozwoju lokalnego</w:t>
      </w:r>
      <w:r>
        <w:t>,</w:t>
      </w:r>
      <w:r w:rsidR="00FB6497">
        <w:t xml:space="preserve"> </w:t>
      </w:r>
      <w:r w:rsidR="003B505F">
        <w:t xml:space="preserve">został w całości objęty granicami </w:t>
      </w:r>
      <w:r w:rsidR="00E259E1">
        <w:t>obszaru rewitalizacji</w:t>
      </w:r>
      <w:r w:rsidR="003B505F">
        <w:t>.</w:t>
      </w:r>
      <w:r w:rsidR="00E259E1">
        <w:t xml:space="preserve"> Na </w:t>
      </w:r>
      <w:r w:rsidR="003B505F">
        <w:t xml:space="preserve">poniższym rysunku </w:t>
      </w:r>
      <w:r w:rsidR="00E259E1">
        <w:t>przedstawiono</w:t>
      </w:r>
      <w:r>
        <w:t xml:space="preserve"> </w:t>
      </w:r>
      <w:r w:rsidR="00E259E1">
        <w:t xml:space="preserve">wyniki analizy delimitacyjnej </w:t>
      </w:r>
      <w:r w:rsidR="003B505F">
        <w:t>Rzeszowa</w:t>
      </w:r>
      <w:r w:rsidR="00E259E1">
        <w:t xml:space="preserve">. </w:t>
      </w:r>
    </w:p>
    <w:p w14:paraId="25E85F2D" w14:textId="7A136364" w:rsidR="00B83E68" w:rsidRDefault="003B505F" w:rsidP="003D12C3">
      <w:pPr>
        <w:pStyle w:val="Legenda"/>
        <w:spacing w:after="0"/>
        <w:rPr>
          <w:i w:val="0"/>
          <w:iCs w:val="0"/>
          <w:color w:val="auto"/>
          <w:sz w:val="20"/>
          <w:szCs w:val="20"/>
        </w:rPr>
      </w:pPr>
      <w:r>
        <w:rPr>
          <w:i w:val="0"/>
          <w:iCs w:val="0"/>
          <w:color w:val="auto"/>
          <w:sz w:val="20"/>
          <w:szCs w:val="20"/>
        </w:rPr>
        <w:t>Mapa 1.</w:t>
      </w:r>
      <w:r w:rsidR="003D12C3" w:rsidRPr="003D12C3">
        <w:rPr>
          <w:i w:val="0"/>
          <w:iCs w:val="0"/>
          <w:color w:val="auto"/>
          <w:sz w:val="20"/>
          <w:szCs w:val="20"/>
        </w:rPr>
        <w:t xml:space="preserve"> Obszar zdegradowany Gminy Miasta Rzeszowa</w:t>
      </w:r>
    </w:p>
    <w:p w14:paraId="10170179" w14:textId="6FE87EAF" w:rsidR="004172A9" w:rsidRPr="004172A9" w:rsidRDefault="004172A9" w:rsidP="004172A9">
      <w:pPr>
        <w:spacing w:after="0"/>
      </w:pPr>
      <w:r>
        <w:rPr>
          <w:noProof/>
          <w:lang w:eastAsia="pl-PL"/>
        </w:rPr>
        <w:lastRenderedPageBreak/>
        <w:drawing>
          <wp:inline distT="0" distB="0" distL="0" distR="0" wp14:anchorId="77773D8E" wp14:editId="38633FAE">
            <wp:extent cx="3682365" cy="3994150"/>
            <wp:effectExtent l="0" t="0" r="0" b="6350"/>
            <wp:docPr id="5" name="Obraz 5" descr="zaznaczone obszary zdegradowane w Rzeszow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682365" cy="3994150"/>
                    </a:xfrm>
                    <a:prstGeom prst="rect">
                      <a:avLst/>
                    </a:prstGeom>
                    <a:noFill/>
                    <a:ln>
                      <a:noFill/>
                    </a:ln>
                  </pic:spPr>
                </pic:pic>
              </a:graphicData>
            </a:graphic>
          </wp:inline>
        </w:drawing>
      </w:r>
    </w:p>
    <w:p w14:paraId="7514CBFC" w14:textId="6FBD0264" w:rsidR="003D12C3" w:rsidRPr="00E30212" w:rsidRDefault="003D12C3" w:rsidP="003D12C3">
      <w:pPr>
        <w:rPr>
          <w:sz w:val="20"/>
          <w:szCs w:val="20"/>
        </w:rPr>
      </w:pPr>
      <w:r w:rsidRPr="00E30212">
        <w:rPr>
          <w:sz w:val="20"/>
          <w:szCs w:val="20"/>
        </w:rPr>
        <w:t xml:space="preserve">Źródło: Lokalny Program Rewitalizacji dla Gminy Miasta Rzeszowa do roku 2023, s. </w:t>
      </w:r>
      <w:r>
        <w:rPr>
          <w:sz w:val="20"/>
          <w:szCs w:val="20"/>
        </w:rPr>
        <w:t>12</w:t>
      </w:r>
      <w:r w:rsidRPr="00E30212">
        <w:rPr>
          <w:sz w:val="20"/>
          <w:szCs w:val="20"/>
        </w:rPr>
        <w:t>5.</w:t>
      </w:r>
    </w:p>
    <w:p w14:paraId="4DAEA27D" w14:textId="45F24C92" w:rsidR="00A42620" w:rsidRDefault="00F92AA4" w:rsidP="002C1A8C">
      <w:pPr>
        <w:spacing w:line="276" w:lineRule="auto"/>
        <w:jc w:val="both"/>
        <w:rPr>
          <w:bCs/>
        </w:rPr>
      </w:pPr>
      <w:r>
        <w:rPr>
          <w:bCs/>
        </w:rPr>
        <w:t>Praktyka wypracowana przez Rzeszów, związana z intensywnym wyznaczeniem obszaru zdegradowanego, pozwala ograniczyć problemy z wyborem obszaru rewitalizacji</w:t>
      </w:r>
      <w:r w:rsidR="002A1CB5">
        <w:rPr>
          <w:bCs/>
        </w:rPr>
        <w:t xml:space="preserve"> w </w:t>
      </w:r>
      <w:r w:rsidR="00310E91">
        <w:rPr>
          <w:bCs/>
        </w:rPr>
        <w:t>przypadku</w:t>
      </w:r>
      <w:r w:rsidR="002A1CB5">
        <w:rPr>
          <w:bCs/>
        </w:rPr>
        <w:t xml:space="preserve">, gdy granice tych dwóch obszarów </w:t>
      </w:r>
      <w:r w:rsidR="00310E91">
        <w:rPr>
          <w:bCs/>
        </w:rPr>
        <w:t xml:space="preserve">się </w:t>
      </w:r>
      <w:r w:rsidR="002A1CB5">
        <w:rPr>
          <w:bCs/>
        </w:rPr>
        <w:t>nie pokrywają. Najczęstszymi błędami popełnianymi w procesie delimitacji obszaru rewitalizacji</w:t>
      </w:r>
      <w:r w:rsidR="00EF4F9F">
        <w:rPr>
          <w:bCs/>
        </w:rPr>
        <w:t xml:space="preserve"> jest ich arbitralne wskazywanie w obrębie bardzo rozległych obszarów zdegradowanych. </w:t>
      </w:r>
    </w:p>
    <w:p w14:paraId="7B705AFF" w14:textId="79348F14" w:rsidR="00CA2906" w:rsidRDefault="003C7CBC" w:rsidP="00B7661A">
      <w:pPr>
        <w:spacing w:line="276" w:lineRule="auto"/>
        <w:jc w:val="both"/>
        <w:rPr>
          <w:rFonts w:eastAsia="Times New Roman" w:cs="Century Gothic"/>
          <w:lang w:eastAsia="ar-SA"/>
        </w:rPr>
      </w:pPr>
      <w:r>
        <w:rPr>
          <w:bCs/>
        </w:rPr>
        <w:t xml:space="preserve">Natomiast inne doświadczenia </w:t>
      </w:r>
      <w:r w:rsidR="00CA2906">
        <w:rPr>
          <w:bCs/>
        </w:rPr>
        <w:t xml:space="preserve">z </w:t>
      </w:r>
      <w:r>
        <w:rPr>
          <w:bCs/>
        </w:rPr>
        <w:t xml:space="preserve">obszernym </w:t>
      </w:r>
      <w:r w:rsidR="00CA2906">
        <w:rPr>
          <w:bCs/>
        </w:rPr>
        <w:t xml:space="preserve">obszarem zdegradowanym </w:t>
      </w:r>
      <w:r>
        <w:rPr>
          <w:bCs/>
        </w:rPr>
        <w:t xml:space="preserve">miała </w:t>
      </w:r>
      <w:r w:rsidR="005A49B2" w:rsidRPr="00345F6B">
        <w:rPr>
          <w:b/>
          <w:bCs/>
        </w:rPr>
        <w:t xml:space="preserve">gmina </w:t>
      </w:r>
      <w:r w:rsidRPr="00345F6B">
        <w:rPr>
          <w:b/>
          <w:bCs/>
        </w:rPr>
        <w:t xml:space="preserve">miejsko-wiejska </w:t>
      </w:r>
      <w:r w:rsidR="005A49B2" w:rsidRPr="00345F6B">
        <w:rPr>
          <w:b/>
          <w:bCs/>
        </w:rPr>
        <w:t>Kępice</w:t>
      </w:r>
      <w:r w:rsidR="005A49B2">
        <w:rPr>
          <w:bCs/>
        </w:rPr>
        <w:t xml:space="preserve"> (woj. pomorskie, powiat słupski). </w:t>
      </w:r>
      <w:r w:rsidR="004347CC">
        <w:rPr>
          <w:bCs/>
        </w:rPr>
        <w:t xml:space="preserve">Na potrzeby jego wyznaczenia </w:t>
      </w:r>
      <w:r w:rsidR="00840C74">
        <w:rPr>
          <w:bCs/>
        </w:rPr>
        <w:t>wy</w:t>
      </w:r>
      <w:r w:rsidR="004347CC">
        <w:rPr>
          <w:bCs/>
        </w:rPr>
        <w:t xml:space="preserve">dzielono </w:t>
      </w:r>
      <w:r w:rsidR="00840C74">
        <w:rPr>
          <w:bCs/>
        </w:rPr>
        <w:t xml:space="preserve">z </w:t>
      </w:r>
      <w:r w:rsidR="004347CC">
        <w:rPr>
          <w:bCs/>
        </w:rPr>
        <w:t xml:space="preserve">jej terytorium </w:t>
      </w:r>
      <w:r w:rsidR="00B06BDC">
        <w:rPr>
          <w:bCs/>
        </w:rPr>
        <w:br/>
      </w:r>
      <w:r w:rsidR="004347CC">
        <w:rPr>
          <w:bCs/>
        </w:rPr>
        <w:t xml:space="preserve">20 jednostek przestrzennych. </w:t>
      </w:r>
      <w:r w:rsidR="004347CC">
        <w:t>W przypadku terenów wiejskich posłużono się jednostkami naturalnymi, obejmującymi 17 sołectw w ich granicach administracyjnych</w:t>
      </w:r>
      <w:r w:rsidR="00345F6B">
        <w:t xml:space="preserve">. Na </w:t>
      </w:r>
      <w:r w:rsidR="004347CC">
        <w:rPr>
          <w:rFonts w:eastAsia="Times New Roman" w:cs="Century Gothic"/>
          <w:lang w:eastAsia="ar-SA"/>
        </w:rPr>
        <w:t>terenie miejskim zamieszk</w:t>
      </w:r>
      <w:r w:rsidR="00345F6B">
        <w:rPr>
          <w:rFonts w:eastAsia="Times New Roman" w:cs="Century Gothic"/>
          <w:lang w:eastAsia="ar-SA"/>
        </w:rPr>
        <w:t xml:space="preserve">iwało </w:t>
      </w:r>
      <w:r w:rsidR="004347CC">
        <w:rPr>
          <w:rFonts w:eastAsia="Times New Roman" w:cs="Century Gothic"/>
          <w:lang w:eastAsia="ar-SA"/>
        </w:rPr>
        <w:t>blisko 40% mieszkańców całej gminy</w:t>
      </w:r>
      <w:r w:rsidR="00345F6B">
        <w:rPr>
          <w:rFonts w:eastAsia="Times New Roman" w:cs="Century Gothic"/>
          <w:lang w:eastAsia="ar-SA"/>
        </w:rPr>
        <w:t>, stąd</w:t>
      </w:r>
      <w:r w:rsidR="004347CC">
        <w:rPr>
          <w:rFonts w:eastAsia="Times New Roman" w:cs="Century Gothic"/>
          <w:lang w:eastAsia="ar-SA"/>
        </w:rPr>
        <w:t xml:space="preserve"> konieczne było </w:t>
      </w:r>
      <w:r w:rsidR="00345F6B">
        <w:rPr>
          <w:rFonts w:eastAsia="Times New Roman" w:cs="Century Gothic"/>
          <w:lang w:eastAsia="ar-SA"/>
        </w:rPr>
        <w:t xml:space="preserve">dodatkowe </w:t>
      </w:r>
      <w:r w:rsidR="004347CC">
        <w:rPr>
          <w:rFonts w:eastAsia="Times New Roman" w:cs="Century Gothic"/>
          <w:lang w:eastAsia="ar-SA"/>
        </w:rPr>
        <w:t xml:space="preserve">podzielenie miasta Kępice </w:t>
      </w:r>
      <w:r w:rsidR="00B06BDC">
        <w:rPr>
          <w:rFonts w:eastAsia="Times New Roman" w:cs="Century Gothic"/>
          <w:lang w:eastAsia="ar-SA"/>
        </w:rPr>
        <w:br/>
      </w:r>
      <w:r w:rsidR="004347CC">
        <w:rPr>
          <w:rFonts w:eastAsia="Times New Roman" w:cs="Century Gothic"/>
          <w:lang w:eastAsia="ar-SA"/>
        </w:rPr>
        <w:t xml:space="preserve">na </w:t>
      </w:r>
      <w:r w:rsidR="00345F6B">
        <w:rPr>
          <w:rFonts w:eastAsia="Times New Roman" w:cs="Century Gothic"/>
          <w:lang w:eastAsia="ar-SA"/>
        </w:rPr>
        <w:t xml:space="preserve">3 </w:t>
      </w:r>
      <w:r w:rsidR="004347CC">
        <w:rPr>
          <w:rFonts w:eastAsia="Times New Roman" w:cs="Century Gothic"/>
          <w:lang w:eastAsia="ar-SA"/>
        </w:rPr>
        <w:t xml:space="preserve">mniejsze jednostki. </w:t>
      </w:r>
      <w:r w:rsidR="00B7661A">
        <w:rPr>
          <w:rFonts w:eastAsia="Times New Roman" w:cs="Century Gothic"/>
          <w:lang w:eastAsia="ar-SA"/>
        </w:rPr>
        <w:t xml:space="preserve">Wszystkie jednostki przeanalizowano za pomocą tego samego katalogu </w:t>
      </w:r>
      <w:r w:rsidR="00B7661A" w:rsidRPr="00B7661A">
        <w:rPr>
          <w:rFonts w:eastAsia="Times New Roman" w:cs="Century Gothic"/>
          <w:lang w:eastAsia="ar-SA"/>
        </w:rPr>
        <w:t xml:space="preserve">17 czynników kryzysowych, </w:t>
      </w:r>
      <w:r w:rsidR="00B7661A">
        <w:rPr>
          <w:rFonts w:eastAsia="Times New Roman" w:cs="Century Gothic"/>
          <w:lang w:eastAsia="ar-SA"/>
        </w:rPr>
        <w:t xml:space="preserve">w tym </w:t>
      </w:r>
      <w:r w:rsidR="00B7661A" w:rsidRPr="00B7661A">
        <w:rPr>
          <w:rFonts w:eastAsia="Times New Roman" w:cs="Century Gothic"/>
          <w:lang w:eastAsia="ar-SA"/>
        </w:rPr>
        <w:t>12 w sferze społecznej</w:t>
      </w:r>
      <w:r w:rsidR="00B06BDC">
        <w:rPr>
          <w:rFonts w:eastAsia="Times New Roman" w:cs="Century Gothic"/>
          <w:lang w:eastAsia="ar-SA"/>
        </w:rPr>
        <w:t xml:space="preserve">, </w:t>
      </w:r>
      <w:r w:rsidR="00B06BDC" w:rsidRPr="00B7661A">
        <w:rPr>
          <w:rFonts w:eastAsia="Times New Roman" w:cs="Century Gothic"/>
          <w:lang w:eastAsia="ar-SA"/>
        </w:rPr>
        <w:t>2 w</w:t>
      </w:r>
      <w:r w:rsidR="00B7661A" w:rsidRPr="00B7661A">
        <w:rPr>
          <w:rFonts w:eastAsia="Times New Roman" w:cs="Century Gothic"/>
          <w:lang w:eastAsia="ar-SA"/>
        </w:rPr>
        <w:t xml:space="preserve"> sferze gospodarczej</w:t>
      </w:r>
      <w:r w:rsidR="00A36CAD">
        <w:rPr>
          <w:rFonts w:eastAsia="Times New Roman" w:cs="Century Gothic"/>
          <w:lang w:eastAsia="ar-SA"/>
        </w:rPr>
        <w:t xml:space="preserve"> oraz po jednym w sferze </w:t>
      </w:r>
      <w:r w:rsidR="00B7661A" w:rsidRPr="00B7661A">
        <w:rPr>
          <w:rFonts w:eastAsia="Times New Roman" w:cs="Century Gothic"/>
          <w:lang w:eastAsia="ar-SA"/>
        </w:rPr>
        <w:t>technicznej,</w:t>
      </w:r>
      <w:r w:rsidR="00B7661A">
        <w:rPr>
          <w:rFonts w:eastAsia="Times New Roman" w:cs="Century Gothic"/>
          <w:lang w:eastAsia="ar-SA"/>
        </w:rPr>
        <w:t xml:space="preserve"> </w:t>
      </w:r>
      <w:r w:rsidR="00B7661A" w:rsidRPr="00B7661A">
        <w:rPr>
          <w:rFonts w:eastAsia="Times New Roman" w:cs="Century Gothic"/>
          <w:lang w:eastAsia="ar-SA"/>
        </w:rPr>
        <w:t>środowiskowej</w:t>
      </w:r>
      <w:r w:rsidR="00A36CAD">
        <w:rPr>
          <w:rFonts w:eastAsia="Times New Roman" w:cs="Century Gothic"/>
          <w:lang w:eastAsia="ar-SA"/>
        </w:rPr>
        <w:t xml:space="preserve"> i </w:t>
      </w:r>
      <w:r w:rsidR="00B7661A" w:rsidRPr="00B7661A">
        <w:rPr>
          <w:rFonts w:eastAsia="Times New Roman" w:cs="Century Gothic"/>
          <w:lang w:eastAsia="ar-SA"/>
        </w:rPr>
        <w:t>przestrzenno-funkcjonalnej</w:t>
      </w:r>
      <w:r w:rsidR="00A36CAD">
        <w:rPr>
          <w:rFonts w:eastAsia="Times New Roman" w:cs="Century Gothic"/>
          <w:lang w:eastAsia="ar-SA"/>
        </w:rPr>
        <w:t xml:space="preserve">. </w:t>
      </w:r>
      <w:r w:rsidR="00A40FFE">
        <w:rPr>
          <w:rFonts w:eastAsia="Times New Roman" w:cs="Century Gothic"/>
          <w:lang w:eastAsia="ar-SA"/>
        </w:rPr>
        <w:t xml:space="preserve">W efekcie analizy wskaźnikowej jednostek wskazano te </w:t>
      </w:r>
      <w:r w:rsidR="00A36CAD" w:rsidRPr="00A36CAD">
        <w:rPr>
          <w:rFonts w:eastAsia="Times New Roman" w:cs="Century Gothic"/>
          <w:lang w:eastAsia="ar-SA"/>
        </w:rPr>
        <w:t>obszary gminy Kępice, które charakteryz</w:t>
      </w:r>
      <w:r w:rsidR="00A40FFE">
        <w:rPr>
          <w:rFonts w:eastAsia="Times New Roman" w:cs="Century Gothic"/>
          <w:lang w:eastAsia="ar-SA"/>
        </w:rPr>
        <w:t xml:space="preserve">owały </w:t>
      </w:r>
      <w:r w:rsidR="00A36CAD" w:rsidRPr="00A36CAD">
        <w:rPr>
          <w:rFonts w:eastAsia="Times New Roman" w:cs="Century Gothic"/>
          <w:lang w:eastAsia="ar-SA"/>
        </w:rPr>
        <w:t>się najwyższą k</w:t>
      </w:r>
      <w:r w:rsidR="00A40FFE">
        <w:rPr>
          <w:rFonts w:eastAsia="Times New Roman" w:cs="Century Gothic"/>
          <w:lang w:eastAsia="ar-SA"/>
        </w:rPr>
        <w:t>oncentracją negatywnych zjawisk</w:t>
      </w:r>
      <w:r w:rsidR="00A36CAD" w:rsidRPr="00A36CAD">
        <w:rPr>
          <w:rFonts w:eastAsia="Times New Roman" w:cs="Century Gothic"/>
          <w:lang w:eastAsia="ar-SA"/>
        </w:rPr>
        <w:t xml:space="preserve">. Z </w:t>
      </w:r>
      <w:r w:rsidR="00A40FFE">
        <w:rPr>
          <w:rFonts w:eastAsia="Times New Roman" w:cs="Century Gothic"/>
          <w:lang w:eastAsia="ar-SA"/>
        </w:rPr>
        <w:t xml:space="preserve">20 </w:t>
      </w:r>
      <w:r w:rsidR="00A36CAD" w:rsidRPr="00A36CAD">
        <w:rPr>
          <w:rFonts w:eastAsia="Times New Roman" w:cs="Century Gothic"/>
          <w:lang w:eastAsia="ar-SA"/>
        </w:rPr>
        <w:t xml:space="preserve">jednostek </w:t>
      </w:r>
      <w:r w:rsidR="00A40FFE">
        <w:rPr>
          <w:rFonts w:eastAsia="Times New Roman" w:cs="Century Gothic"/>
          <w:lang w:eastAsia="ar-SA"/>
        </w:rPr>
        <w:t xml:space="preserve">aż </w:t>
      </w:r>
      <w:r w:rsidR="00A36CAD" w:rsidRPr="00A36CAD">
        <w:rPr>
          <w:rFonts w:eastAsia="Times New Roman" w:cs="Century Gothic"/>
          <w:lang w:eastAsia="ar-SA"/>
        </w:rPr>
        <w:t>pięć spełni</w:t>
      </w:r>
      <w:r w:rsidR="00A40FFE">
        <w:rPr>
          <w:rFonts w:eastAsia="Times New Roman" w:cs="Century Gothic"/>
          <w:lang w:eastAsia="ar-SA"/>
        </w:rPr>
        <w:t xml:space="preserve">ło </w:t>
      </w:r>
      <w:r w:rsidR="00A36CAD" w:rsidRPr="00A36CAD">
        <w:rPr>
          <w:rFonts w:eastAsia="Times New Roman" w:cs="Century Gothic"/>
          <w:lang w:eastAsia="ar-SA"/>
        </w:rPr>
        <w:t xml:space="preserve">jednocześnie </w:t>
      </w:r>
      <w:r w:rsidR="00A40FFE">
        <w:rPr>
          <w:rFonts w:eastAsia="Times New Roman" w:cs="Century Gothic"/>
          <w:lang w:eastAsia="ar-SA"/>
        </w:rPr>
        <w:t xml:space="preserve">kryteria zdefiniowane dla obszaru zdegradowanego: </w:t>
      </w:r>
      <w:r w:rsidR="003D54FC">
        <w:rPr>
          <w:rFonts w:eastAsia="Times New Roman" w:cs="Century Gothic"/>
          <w:lang w:eastAsia="ar-SA"/>
        </w:rPr>
        <w:t xml:space="preserve">dwie </w:t>
      </w:r>
      <w:r w:rsidR="00A36CAD" w:rsidRPr="00A36CAD">
        <w:rPr>
          <w:rFonts w:eastAsia="Times New Roman" w:cs="Century Gothic"/>
          <w:lang w:eastAsia="ar-SA"/>
        </w:rPr>
        <w:t>jednostki</w:t>
      </w:r>
      <w:r w:rsidR="003D54FC">
        <w:rPr>
          <w:rFonts w:eastAsia="Times New Roman" w:cs="Century Gothic"/>
          <w:lang w:eastAsia="ar-SA"/>
        </w:rPr>
        <w:t xml:space="preserve"> </w:t>
      </w:r>
      <w:r w:rsidR="00A36CAD" w:rsidRPr="00A36CAD">
        <w:rPr>
          <w:rFonts w:eastAsia="Times New Roman" w:cs="Century Gothic"/>
          <w:lang w:eastAsia="ar-SA"/>
        </w:rPr>
        <w:t xml:space="preserve">na </w:t>
      </w:r>
      <w:r w:rsidR="003D54FC">
        <w:rPr>
          <w:rFonts w:eastAsia="Times New Roman" w:cs="Century Gothic"/>
          <w:lang w:eastAsia="ar-SA"/>
        </w:rPr>
        <w:t xml:space="preserve">terenie </w:t>
      </w:r>
      <w:r w:rsidR="00A36CAD" w:rsidRPr="00A36CAD">
        <w:rPr>
          <w:rFonts w:eastAsia="Times New Roman" w:cs="Century Gothic"/>
          <w:lang w:eastAsia="ar-SA"/>
        </w:rPr>
        <w:t xml:space="preserve">miasta Kępice </w:t>
      </w:r>
      <w:r w:rsidR="003D54FC">
        <w:rPr>
          <w:rFonts w:eastAsia="Times New Roman" w:cs="Century Gothic"/>
          <w:lang w:eastAsia="ar-SA"/>
        </w:rPr>
        <w:t xml:space="preserve">(nr 2 i 3) </w:t>
      </w:r>
      <w:r w:rsidR="00A36CAD" w:rsidRPr="00A36CAD">
        <w:rPr>
          <w:rFonts w:eastAsia="Times New Roman" w:cs="Century Gothic"/>
          <w:lang w:eastAsia="ar-SA"/>
        </w:rPr>
        <w:t xml:space="preserve">oraz </w:t>
      </w:r>
      <w:r w:rsidR="003D54FC">
        <w:rPr>
          <w:rFonts w:eastAsia="Times New Roman" w:cs="Century Gothic"/>
          <w:lang w:eastAsia="ar-SA"/>
        </w:rPr>
        <w:t>trzy jednostki na terenie wiejskim (</w:t>
      </w:r>
      <w:r w:rsidR="00A36CAD" w:rsidRPr="00A36CAD">
        <w:rPr>
          <w:rFonts w:eastAsia="Times New Roman" w:cs="Century Gothic"/>
          <w:lang w:eastAsia="ar-SA"/>
        </w:rPr>
        <w:t>nr 10</w:t>
      </w:r>
      <w:r w:rsidR="003D54FC">
        <w:rPr>
          <w:rFonts w:eastAsia="Times New Roman" w:cs="Century Gothic"/>
          <w:lang w:eastAsia="ar-SA"/>
        </w:rPr>
        <w:t>, nr 11, nr 19).</w:t>
      </w:r>
    </w:p>
    <w:p w14:paraId="3C44A04A" w14:textId="7E07F65D" w:rsidR="001143DD" w:rsidRPr="001143DD" w:rsidRDefault="001143DD" w:rsidP="001143DD">
      <w:pPr>
        <w:pStyle w:val="Legenda"/>
        <w:rPr>
          <w:i w:val="0"/>
          <w:color w:val="auto"/>
          <w:sz w:val="20"/>
          <w:szCs w:val="20"/>
        </w:rPr>
      </w:pPr>
      <w:bookmarkStart w:id="0" w:name="_Toc519157717"/>
      <w:r w:rsidRPr="001143DD">
        <w:rPr>
          <w:i w:val="0"/>
          <w:color w:val="auto"/>
          <w:sz w:val="20"/>
          <w:szCs w:val="20"/>
        </w:rPr>
        <w:t xml:space="preserve">Mapa 2. Obszar zdegradowany </w:t>
      </w:r>
      <w:r>
        <w:rPr>
          <w:i w:val="0"/>
          <w:color w:val="auto"/>
          <w:sz w:val="20"/>
          <w:szCs w:val="20"/>
        </w:rPr>
        <w:t xml:space="preserve">gminy </w:t>
      </w:r>
      <w:r w:rsidRPr="001143DD">
        <w:rPr>
          <w:i w:val="0"/>
          <w:color w:val="auto"/>
          <w:sz w:val="20"/>
          <w:szCs w:val="20"/>
        </w:rPr>
        <w:t>Kępice</w:t>
      </w:r>
      <w:bookmarkEnd w:id="0"/>
    </w:p>
    <w:p w14:paraId="2FC60988" w14:textId="77777777" w:rsidR="001143DD" w:rsidRPr="00844028" w:rsidRDefault="001143DD" w:rsidP="001143DD">
      <w:pPr>
        <w:jc w:val="center"/>
      </w:pPr>
      <w:r>
        <w:rPr>
          <w:noProof/>
          <w:lang w:eastAsia="pl-PL"/>
        </w:rPr>
        <w:lastRenderedPageBreak/>
        <w:drawing>
          <wp:inline distT="0" distB="0" distL="0" distR="0" wp14:anchorId="5B68674B" wp14:editId="619ACC0D">
            <wp:extent cx="3525807" cy="4492111"/>
            <wp:effectExtent l="0" t="0" r="0" b="3810"/>
            <wp:docPr id="26" name="Obraz 26" descr="Zaznaczone obszary zdegradowane w gminie Kęp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536879" cy="4506217"/>
                    </a:xfrm>
                    <a:prstGeom prst="rect">
                      <a:avLst/>
                    </a:prstGeom>
                    <a:noFill/>
                    <a:ln>
                      <a:noFill/>
                    </a:ln>
                  </pic:spPr>
                </pic:pic>
              </a:graphicData>
            </a:graphic>
          </wp:inline>
        </w:drawing>
      </w:r>
    </w:p>
    <w:p w14:paraId="4BB2F161" w14:textId="5DF05169" w:rsidR="001143DD" w:rsidRPr="00E30212" w:rsidRDefault="001143DD" w:rsidP="001143DD">
      <w:pPr>
        <w:rPr>
          <w:sz w:val="20"/>
          <w:szCs w:val="20"/>
        </w:rPr>
      </w:pPr>
      <w:r w:rsidRPr="00E30212">
        <w:rPr>
          <w:sz w:val="20"/>
          <w:szCs w:val="20"/>
        </w:rPr>
        <w:t xml:space="preserve">Źródło: Lokalny Program Rewitalizacji </w:t>
      </w:r>
      <w:r w:rsidR="00E74B91">
        <w:rPr>
          <w:sz w:val="20"/>
          <w:szCs w:val="20"/>
        </w:rPr>
        <w:t xml:space="preserve">na lata 2018-2023 </w:t>
      </w:r>
      <w:r w:rsidRPr="00E30212">
        <w:rPr>
          <w:sz w:val="20"/>
          <w:szCs w:val="20"/>
        </w:rPr>
        <w:t xml:space="preserve">dla Gminy </w:t>
      </w:r>
      <w:r w:rsidR="00E74B91">
        <w:rPr>
          <w:sz w:val="20"/>
          <w:szCs w:val="20"/>
        </w:rPr>
        <w:t>Kępice</w:t>
      </w:r>
      <w:r w:rsidRPr="00E30212">
        <w:rPr>
          <w:sz w:val="20"/>
          <w:szCs w:val="20"/>
        </w:rPr>
        <w:t xml:space="preserve">, s. </w:t>
      </w:r>
      <w:r w:rsidR="00E74B91">
        <w:rPr>
          <w:sz w:val="20"/>
          <w:szCs w:val="20"/>
        </w:rPr>
        <w:t>83.</w:t>
      </w:r>
    </w:p>
    <w:p w14:paraId="2CD0B0C5" w14:textId="52DADD39" w:rsidR="00D70665" w:rsidRDefault="00D70665" w:rsidP="00087747">
      <w:pPr>
        <w:spacing w:line="276" w:lineRule="auto"/>
        <w:jc w:val="both"/>
        <w:rPr>
          <w:bCs/>
        </w:rPr>
      </w:pPr>
      <w:r>
        <w:rPr>
          <w:bCs/>
        </w:rPr>
        <w:t xml:space="preserve">Wychodząc z założenia, iż obszar rewitalizacji powinien </w:t>
      </w:r>
      <w:r w:rsidR="005662D7">
        <w:rPr>
          <w:bCs/>
        </w:rPr>
        <w:t xml:space="preserve">charakteryzować się większą </w:t>
      </w:r>
      <w:r w:rsidR="00E51ACC">
        <w:rPr>
          <w:bCs/>
        </w:rPr>
        <w:t>koncentracją, zapewniając</w:t>
      </w:r>
      <w:r w:rsidR="00C96712">
        <w:rPr>
          <w:bCs/>
        </w:rPr>
        <w:t>ą</w:t>
      </w:r>
      <w:r w:rsidR="00E51ACC">
        <w:rPr>
          <w:bCs/>
        </w:rPr>
        <w:t xml:space="preserve"> wysoką skuteczność procesu, podjęto decyzję </w:t>
      </w:r>
      <w:r w:rsidR="005D3B00">
        <w:rPr>
          <w:bCs/>
        </w:rPr>
        <w:t>o</w:t>
      </w:r>
      <w:r w:rsidR="00E51ACC">
        <w:rPr>
          <w:bCs/>
        </w:rPr>
        <w:t xml:space="preserve"> konieczności </w:t>
      </w:r>
      <w:r w:rsidR="00E51ACC" w:rsidRPr="00D70665">
        <w:rPr>
          <w:bCs/>
        </w:rPr>
        <w:t>ograniczeni</w:t>
      </w:r>
      <w:r w:rsidR="00E51ACC">
        <w:rPr>
          <w:bCs/>
        </w:rPr>
        <w:t>a</w:t>
      </w:r>
      <w:r w:rsidR="00E51ACC" w:rsidRPr="00D70665">
        <w:rPr>
          <w:bCs/>
        </w:rPr>
        <w:t xml:space="preserve"> </w:t>
      </w:r>
      <w:r w:rsidR="005D3B00">
        <w:rPr>
          <w:bCs/>
        </w:rPr>
        <w:t>jego zasięgu</w:t>
      </w:r>
      <w:r w:rsidR="00087747">
        <w:rPr>
          <w:bCs/>
        </w:rPr>
        <w:t>, w obawie przed rozproszeniem interwencji</w:t>
      </w:r>
      <w:r w:rsidR="00E51ACC">
        <w:rPr>
          <w:bCs/>
        </w:rPr>
        <w:t>.</w:t>
      </w:r>
      <w:r w:rsidR="005D3B00">
        <w:rPr>
          <w:bCs/>
        </w:rPr>
        <w:t xml:space="preserve"> </w:t>
      </w:r>
    </w:p>
    <w:p w14:paraId="57E122DC" w14:textId="77777777" w:rsidR="00D52EBF" w:rsidRDefault="00087747" w:rsidP="00FE5FD7">
      <w:pPr>
        <w:spacing w:line="276" w:lineRule="auto"/>
        <w:jc w:val="both"/>
        <w:rPr>
          <w:bCs/>
        </w:rPr>
      </w:pPr>
      <w:r w:rsidRPr="00D70665">
        <w:rPr>
          <w:bCs/>
        </w:rPr>
        <w:t>Wszystkie jednostki, które weszły w skład obszaru zdegradowanego, charakteryz</w:t>
      </w:r>
      <w:r>
        <w:rPr>
          <w:bCs/>
        </w:rPr>
        <w:t xml:space="preserve">owały się </w:t>
      </w:r>
      <w:r w:rsidRPr="00D70665">
        <w:rPr>
          <w:bCs/>
        </w:rPr>
        <w:t>szczególną koncentracją negatywnych zjawisk.</w:t>
      </w:r>
      <w:r>
        <w:rPr>
          <w:bCs/>
        </w:rPr>
        <w:t xml:space="preserve"> Stąd z</w:t>
      </w:r>
      <w:r w:rsidR="00D70665" w:rsidRPr="00D70665">
        <w:rPr>
          <w:bCs/>
        </w:rPr>
        <w:t xml:space="preserve">różnicowanie między jednostkami nr 2, 3, 10, 11, 19 można </w:t>
      </w:r>
      <w:r>
        <w:rPr>
          <w:bCs/>
        </w:rPr>
        <w:t xml:space="preserve">było </w:t>
      </w:r>
      <w:r w:rsidR="00D70665" w:rsidRPr="00D70665">
        <w:rPr>
          <w:bCs/>
        </w:rPr>
        <w:t xml:space="preserve">osiągnąć na poziomie analizy </w:t>
      </w:r>
      <w:r>
        <w:rPr>
          <w:bCs/>
        </w:rPr>
        <w:t xml:space="preserve">ich </w:t>
      </w:r>
      <w:r w:rsidR="00D70665" w:rsidRPr="00D70665">
        <w:rPr>
          <w:bCs/>
        </w:rPr>
        <w:t>istotności dla rozwoju lokalnego.</w:t>
      </w:r>
      <w:r w:rsidR="0074032E">
        <w:rPr>
          <w:bCs/>
        </w:rPr>
        <w:t xml:space="preserve"> Na te potrzeby przeanalizowano </w:t>
      </w:r>
      <w:r w:rsidR="00FB2421">
        <w:rPr>
          <w:bCs/>
        </w:rPr>
        <w:t>otoczenie</w:t>
      </w:r>
      <w:r w:rsidR="0074032E">
        <w:rPr>
          <w:bCs/>
        </w:rPr>
        <w:t xml:space="preserve"> dokumentów strategicznych – m.in. studium </w:t>
      </w:r>
      <w:r w:rsidR="00FB2421">
        <w:rPr>
          <w:bCs/>
        </w:rPr>
        <w:t>uwarunkowań</w:t>
      </w:r>
      <w:r w:rsidR="0074032E">
        <w:rPr>
          <w:bCs/>
        </w:rPr>
        <w:t xml:space="preserve"> i kierunków zagospodarowania </w:t>
      </w:r>
      <w:r w:rsidR="00FB2421">
        <w:rPr>
          <w:bCs/>
        </w:rPr>
        <w:t>przestrzennego</w:t>
      </w:r>
      <w:r w:rsidR="0074032E">
        <w:rPr>
          <w:bCs/>
        </w:rPr>
        <w:t xml:space="preserve">, które wskazało </w:t>
      </w:r>
      <w:r w:rsidR="00FB2421">
        <w:rPr>
          <w:bCs/>
        </w:rPr>
        <w:t xml:space="preserve">teren miasta </w:t>
      </w:r>
      <w:r w:rsidR="00FB2421" w:rsidRPr="00FB2421">
        <w:rPr>
          <w:bCs/>
        </w:rPr>
        <w:t xml:space="preserve">Kępice jako istotny dla rozwoju lokalnego, predystynowany </w:t>
      </w:r>
      <w:r w:rsidR="00E56CE7">
        <w:rPr>
          <w:bCs/>
        </w:rPr>
        <w:t xml:space="preserve">w naturalny sposób </w:t>
      </w:r>
      <w:r w:rsidR="00FB2421" w:rsidRPr="00FB2421">
        <w:rPr>
          <w:bCs/>
        </w:rPr>
        <w:t>do objęcia procesami rewitalizacji.</w:t>
      </w:r>
      <w:r w:rsidR="00BF1440">
        <w:rPr>
          <w:bCs/>
        </w:rPr>
        <w:t xml:space="preserve"> </w:t>
      </w:r>
      <w:r w:rsidR="00AC740E">
        <w:rPr>
          <w:bCs/>
        </w:rPr>
        <w:t>N</w:t>
      </w:r>
      <w:r w:rsidR="00FB2421" w:rsidRPr="00FB2421">
        <w:rPr>
          <w:bCs/>
        </w:rPr>
        <w:t xml:space="preserve">a obszarze wiejskim </w:t>
      </w:r>
      <w:r w:rsidR="00AC740E">
        <w:rPr>
          <w:bCs/>
        </w:rPr>
        <w:t xml:space="preserve">wg studium </w:t>
      </w:r>
      <w:r w:rsidR="00FB2421" w:rsidRPr="00FB2421">
        <w:rPr>
          <w:bCs/>
        </w:rPr>
        <w:t xml:space="preserve">rozwój przestrzenny </w:t>
      </w:r>
      <w:r w:rsidR="00120346">
        <w:rPr>
          <w:bCs/>
        </w:rPr>
        <w:t>związany jest ze wzmacnianiem</w:t>
      </w:r>
      <w:r w:rsidR="00FB2421" w:rsidRPr="00FB2421">
        <w:rPr>
          <w:bCs/>
        </w:rPr>
        <w:t xml:space="preserve"> funkcji turystycznej oraz </w:t>
      </w:r>
      <w:r w:rsidR="00120346">
        <w:rPr>
          <w:bCs/>
        </w:rPr>
        <w:t xml:space="preserve">z </w:t>
      </w:r>
      <w:r w:rsidR="00FB2421" w:rsidRPr="00FB2421">
        <w:rPr>
          <w:bCs/>
        </w:rPr>
        <w:t>rozbudow</w:t>
      </w:r>
      <w:r w:rsidR="00120346">
        <w:rPr>
          <w:bCs/>
        </w:rPr>
        <w:t xml:space="preserve">ą </w:t>
      </w:r>
      <w:r w:rsidR="00FB2421" w:rsidRPr="00FB2421">
        <w:rPr>
          <w:bCs/>
        </w:rPr>
        <w:t xml:space="preserve">infrastruktury komunalnej. </w:t>
      </w:r>
    </w:p>
    <w:p w14:paraId="2E9FCAA2" w14:textId="10CE5D62" w:rsidR="00FB2421" w:rsidRDefault="004659B1" w:rsidP="00FE5FD7">
      <w:pPr>
        <w:spacing w:line="276" w:lineRule="auto"/>
        <w:jc w:val="both"/>
        <w:rPr>
          <w:rFonts w:cs="Calibri"/>
        </w:rPr>
      </w:pPr>
      <w:r>
        <w:rPr>
          <w:bCs/>
        </w:rPr>
        <w:t>Studium w</w:t>
      </w:r>
      <w:r w:rsidRPr="004659B1">
        <w:rPr>
          <w:bCs/>
        </w:rPr>
        <w:t xml:space="preserve"> kierunkach polityki przestrzennej dla miasta Kępice wskaza</w:t>
      </w:r>
      <w:r>
        <w:rPr>
          <w:bCs/>
        </w:rPr>
        <w:t xml:space="preserve">ło </w:t>
      </w:r>
      <w:r w:rsidRPr="004659B1">
        <w:rPr>
          <w:bCs/>
        </w:rPr>
        <w:t xml:space="preserve">konieczność podjęcia przebudowy, renowacji i rewitalizacji istniejącej na </w:t>
      </w:r>
      <w:r>
        <w:rPr>
          <w:bCs/>
        </w:rPr>
        <w:t xml:space="preserve">jego </w:t>
      </w:r>
      <w:r w:rsidRPr="004659B1">
        <w:rPr>
          <w:bCs/>
        </w:rPr>
        <w:t>terenie zabudowy mieszkaniowej oraz modernizacji i rozwoju infrastruktury towarzyszącej (terenów zieleni urządzonej, placów zabaw i obiektów małej architektury, ciągów pieszych i rowerowych, miejsc postojowych niezbędnych do obsługi tych terenów</w:t>
      </w:r>
      <w:r w:rsidR="00FE5FD7">
        <w:rPr>
          <w:bCs/>
        </w:rPr>
        <w:t>)</w:t>
      </w:r>
      <w:r>
        <w:rPr>
          <w:bCs/>
        </w:rPr>
        <w:t>.</w:t>
      </w:r>
      <w:r w:rsidR="00FE5FD7">
        <w:rPr>
          <w:bCs/>
        </w:rPr>
        <w:t xml:space="preserve"> </w:t>
      </w:r>
      <w:r w:rsidR="00FE5FD7">
        <w:t xml:space="preserve">Tym samym wybór obszaru rewitalizacji został potwierdzony na poziomie </w:t>
      </w:r>
      <w:r w:rsidR="00120346">
        <w:t>s</w:t>
      </w:r>
      <w:r w:rsidR="00FE5FD7">
        <w:t xml:space="preserve">tudium uwarunkowań i kierunków zagospodarowania przestrzennego miasta i gminy Kępice. Słuszność wyznaczenia do rewitalizacji jednostek miejskich potwierdziły również wyniki badania ankietowego, w którym </w:t>
      </w:r>
      <w:r w:rsidR="00FE5FD7">
        <w:rPr>
          <w:rFonts w:cs="Calibri"/>
        </w:rPr>
        <w:t>w</w:t>
      </w:r>
      <w:r w:rsidR="00FE5FD7" w:rsidRPr="006D13E7">
        <w:rPr>
          <w:rFonts w:cs="Calibri"/>
        </w:rPr>
        <w:t xml:space="preserve">iększość </w:t>
      </w:r>
      <w:r w:rsidR="00FE5FD7">
        <w:rPr>
          <w:rFonts w:cs="Calibri"/>
        </w:rPr>
        <w:t>mieszkańców wskazała jako obszary wymagające</w:t>
      </w:r>
      <w:r w:rsidR="00FE5FD7" w:rsidRPr="006D13E7">
        <w:rPr>
          <w:rFonts w:cs="Calibri"/>
        </w:rPr>
        <w:t xml:space="preserve"> interwencji</w:t>
      </w:r>
      <w:r w:rsidR="00FE5FD7">
        <w:rPr>
          <w:rFonts w:cs="Calibri"/>
        </w:rPr>
        <w:t xml:space="preserve"> właśnie</w:t>
      </w:r>
      <w:r w:rsidR="00FE5FD7" w:rsidRPr="006D13E7">
        <w:rPr>
          <w:rFonts w:cs="Calibri"/>
        </w:rPr>
        <w:t xml:space="preserve"> miasto Kępice</w:t>
      </w:r>
      <w:r w:rsidR="00E56CE7">
        <w:rPr>
          <w:rFonts w:cs="Calibri"/>
        </w:rPr>
        <w:t>.</w:t>
      </w:r>
    </w:p>
    <w:p w14:paraId="5AFFF32D" w14:textId="574EFF77" w:rsidR="00B7539D" w:rsidRPr="00577077" w:rsidRDefault="00B7539D" w:rsidP="00B7539D">
      <w:pPr>
        <w:jc w:val="both"/>
        <w:rPr>
          <w:b/>
        </w:rPr>
      </w:pPr>
      <w:r>
        <w:rPr>
          <w:rFonts w:cs="Calibri"/>
        </w:rPr>
        <w:lastRenderedPageBreak/>
        <w:t xml:space="preserve">W ten sposób dokonano docelowego wyboru jednostek </w:t>
      </w:r>
      <w:r w:rsidRPr="00B7539D">
        <w:rPr>
          <w:rFonts w:cs="Calibri"/>
        </w:rPr>
        <w:t xml:space="preserve">nr </w:t>
      </w:r>
      <w:r w:rsidRPr="00B7539D">
        <w:t>2 i 3 na terenie miejskim</w:t>
      </w:r>
      <w:r>
        <w:rPr>
          <w:b/>
        </w:rPr>
        <w:t xml:space="preserve">, </w:t>
      </w:r>
      <w:r w:rsidRPr="006C4780">
        <w:t>w których gmina Kępice uruchomiła rewitalizację</w:t>
      </w:r>
      <w:r>
        <w:rPr>
          <w:b/>
        </w:rPr>
        <w:t xml:space="preserve"> </w:t>
      </w:r>
      <w:r w:rsidRPr="00577077">
        <w:rPr>
          <w:b/>
        </w:rPr>
        <w:t>z uwagi na istotne znaczenie dla rozwoju lokalnego.</w:t>
      </w:r>
    </w:p>
    <w:p w14:paraId="48D5D266" w14:textId="2340614D" w:rsidR="000B008C" w:rsidRDefault="006C4780" w:rsidP="002C1A8C">
      <w:pPr>
        <w:spacing w:line="276" w:lineRule="auto"/>
        <w:jc w:val="both"/>
        <w:rPr>
          <w:bCs/>
        </w:rPr>
      </w:pPr>
      <w:r>
        <w:rPr>
          <w:bCs/>
        </w:rPr>
        <w:t>Podsumowując, pr</w:t>
      </w:r>
      <w:r w:rsidR="000B008C">
        <w:rPr>
          <w:bCs/>
        </w:rPr>
        <w:t>ecyzja w określeniu granic obszaru rewitalizacji jest bardzo istotna na etapie programowania interwencji rewitalizacyjnej. Skutkiem błędnego wyznaczania granic obszarów rewitalizacji jest rozlewanie się działań poza jego teren</w:t>
      </w:r>
      <w:r w:rsidR="00F9738D">
        <w:rPr>
          <w:bCs/>
        </w:rPr>
        <w:t xml:space="preserve">, co przeczy idei koncentracji, na której opiera się proces rewitalizacji.  </w:t>
      </w:r>
    </w:p>
    <w:p w14:paraId="5E173E37" w14:textId="1B3A75CF" w:rsidR="005247B9" w:rsidRDefault="00A42620" w:rsidP="002C1A8C">
      <w:pPr>
        <w:spacing w:line="276" w:lineRule="auto"/>
        <w:jc w:val="both"/>
        <w:rPr>
          <w:bCs/>
        </w:rPr>
      </w:pPr>
      <w:r>
        <w:rPr>
          <w:bCs/>
        </w:rPr>
        <w:t>P</w:t>
      </w:r>
      <w:r w:rsidR="009F3DB0" w:rsidRPr="009F3DB0">
        <w:rPr>
          <w:bCs/>
        </w:rPr>
        <w:t xml:space="preserve">rawidłowe przeprowadzenie diagnozy delimitacyjnej </w:t>
      </w:r>
      <w:r w:rsidR="009F3DB0">
        <w:rPr>
          <w:bCs/>
        </w:rPr>
        <w:t xml:space="preserve">stanowi klucz do prowadzenia </w:t>
      </w:r>
      <w:r w:rsidR="00F9738D">
        <w:rPr>
          <w:bCs/>
        </w:rPr>
        <w:t xml:space="preserve">skutecznej </w:t>
      </w:r>
      <w:r w:rsidR="009F3DB0">
        <w:rPr>
          <w:bCs/>
        </w:rPr>
        <w:t>interwencji rewitalizacyjnej we wszystkich aspektach: społecznych, gospodarczych, środowiskowych</w:t>
      </w:r>
      <w:r w:rsidR="00F9738D">
        <w:rPr>
          <w:bCs/>
        </w:rPr>
        <w:t>,</w:t>
      </w:r>
      <w:r w:rsidR="009F3DB0">
        <w:rPr>
          <w:bCs/>
        </w:rPr>
        <w:t xml:space="preserve"> przestrzennych oraz technicznych. </w:t>
      </w:r>
    </w:p>
    <w:p w14:paraId="6EE43F7F" w14:textId="0A92FCDF" w:rsidR="00A04531" w:rsidRDefault="009F3DB0" w:rsidP="001A6AAB">
      <w:pPr>
        <w:spacing w:line="276" w:lineRule="auto"/>
        <w:jc w:val="both"/>
        <w:rPr>
          <w:rFonts w:cstheme="minorHAnsi"/>
          <w:color w:val="000000" w:themeColor="text1"/>
        </w:rPr>
      </w:pPr>
      <w:r>
        <w:rPr>
          <w:bCs/>
        </w:rPr>
        <w:t xml:space="preserve"> </w:t>
      </w:r>
      <w:r w:rsidR="00A04531">
        <w:rPr>
          <w:rFonts w:cstheme="minorHAnsi"/>
          <w:color w:val="000000" w:themeColor="text1"/>
        </w:rPr>
        <w:t xml:space="preserve">Autorzy: </w:t>
      </w:r>
    </w:p>
    <w:p w14:paraId="4DEE8F50" w14:textId="53FCD0A5" w:rsidR="00A04531" w:rsidRDefault="00A04531" w:rsidP="00A04531">
      <w:pPr>
        <w:jc w:val="right"/>
        <w:rPr>
          <w:rFonts w:cstheme="minorHAnsi"/>
          <w:color w:val="000000" w:themeColor="text1"/>
        </w:rPr>
      </w:pPr>
      <w:r>
        <w:rPr>
          <w:rFonts w:cstheme="minorHAnsi"/>
          <w:color w:val="000000" w:themeColor="text1"/>
        </w:rPr>
        <w:t xml:space="preserve">Paulina Basińska, </w:t>
      </w:r>
      <w:hyperlink r:id="rId12" w:tgtFrame="_blank" w:history="1">
        <w:r w:rsidRPr="00DA114B">
          <w:rPr>
            <w:rStyle w:val="Hipercze"/>
            <w:rFonts w:cstheme="minorHAnsi"/>
          </w:rPr>
          <w:t>https://orcid.org/0000-0003-3360-9886</w:t>
        </w:r>
      </w:hyperlink>
      <w:r w:rsidRPr="00DA114B">
        <w:rPr>
          <w:rFonts w:cstheme="minorHAnsi"/>
          <w:color w:val="000000" w:themeColor="text1"/>
        </w:rPr>
        <w:t> </w:t>
      </w:r>
    </w:p>
    <w:p w14:paraId="4BB95986" w14:textId="2890DFC9" w:rsidR="00A04531" w:rsidRDefault="00A04531" w:rsidP="00A04531">
      <w:pPr>
        <w:spacing w:after="0"/>
        <w:jc w:val="right"/>
        <w:rPr>
          <w:rFonts w:cstheme="minorHAnsi"/>
          <w:color w:val="000000" w:themeColor="text1"/>
        </w:rPr>
      </w:pPr>
      <w:r>
        <w:rPr>
          <w:rFonts w:cstheme="minorHAnsi"/>
          <w:color w:val="000000" w:themeColor="text1"/>
        </w:rPr>
        <w:t xml:space="preserve">Katarzyna Spadło, </w:t>
      </w:r>
      <w:hyperlink r:id="rId13" w:history="1">
        <w:r w:rsidRPr="00E43DDD">
          <w:rPr>
            <w:rStyle w:val="Hipercze"/>
            <w:rFonts w:cstheme="minorHAnsi"/>
          </w:rPr>
          <w:t>https://orcid.org/0000-0003-1675-2402</w:t>
        </w:r>
      </w:hyperlink>
      <w:r>
        <w:rPr>
          <w:rFonts w:cstheme="minorHAnsi"/>
          <w:color w:val="000000" w:themeColor="text1"/>
        </w:rPr>
        <w:t xml:space="preserve"> </w:t>
      </w:r>
    </w:p>
    <w:p w14:paraId="20AC3429" w14:textId="77777777" w:rsidR="00A04531" w:rsidRDefault="00A04531" w:rsidP="00A04531">
      <w:pPr>
        <w:spacing w:after="0" w:line="276" w:lineRule="auto"/>
        <w:jc w:val="right"/>
        <w:rPr>
          <w:rFonts w:cstheme="minorHAnsi"/>
          <w:color w:val="000000" w:themeColor="text1"/>
        </w:rPr>
      </w:pPr>
    </w:p>
    <w:p w14:paraId="0959D181" w14:textId="77777777" w:rsidR="00A04531" w:rsidRDefault="00A04531" w:rsidP="00A04531">
      <w:pPr>
        <w:spacing w:line="276" w:lineRule="auto"/>
        <w:jc w:val="right"/>
        <w:rPr>
          <w:rFonts w:cstheme="minorHAnsi"/>
          <w:color w:val="000000" w:themeColor="text1"/>
        </w:rPr>
      </w:pPr>
      <w:r>
        <w:rPr>
          <w:rFonts w:cstheme="minorHAnsi"/>
          <w:color w:val="000000" w:themeColor="text1"/>
        </w:rPr>
        <w:t xml:space="preserve">Centrum Doradztwa Rewitalizacyjnego </w:t>
      </w:r>
      <w:r>
        <w:rPr>
          <w:rFonts w:cstheme="minorHAnsi"/>
          <w:color w:val="000000" w:themeColor="text1"/>
        </w:rPr>
        <w:br/>
        <w:t>Instytutu Rozwoju Miast i Regionów</w:t>
      </w:r>
    </w:p>
    <w:p w14:paraId="3D352D5D" w14:textId="77777777" w:rsidR="001A6AAB" w:rsidRDefault="001A6AAB" w:rsidP="00A04531">
      <w:pPr>
        <w:jc w:val="right"/>
        <w:rPr>
          <w:rFonts w:cstheme="minorHAnsi"/>
          <w:color w:val="000000" w:themeColor="text1"/>
        </w:rPr>
      </w:pPr>
    </w:p>
    <w:p w14:paraId="6EE8282A" w14:textId="77777777" w:rsidR="001A6AAB" w:rsidRDefault="001A6AAB" w:rsidP="001A6AAB">
      <w:pPr>
        <w:spacing w:line="360" w:lineRule="auto"/>
        <w:jc w:val="center"/>
        <w:rPr>
          <w:rFonts w:cstheme="minorHAnsi"/>
          <w:i/>
          <w:sz w:val="24"/>
          <w:szCs w:val="24"/>
        </w:rPr>
      </w:pPr>
    </w:p>
    <w:p w14:paraId="1D0FCA47" w14:textId="77777777" w:rsidR="001A6AAB" w:rsidRDefault="001A6AAB" w:rsidP="001A6AAB">
      <w:pPr>
        <w:spacing w:line="360" w:lineRule="auto"/>
        <w:jc w:val="center"/>
        <w:rPr>
          <w:rFonts w:cstheme="minorHAnsi"/>
          <w:i/>
          <w:sz w:val="24"/>
          <w:szCs w:val="24"/>
        </w:rPr>
      </w:pPr>
    </w:p>
    <w:p w14:paraId="18C70075" w14:textId="77777777" w:rsidR="001A6AAB" w:rsidRDefault="001A6AAB" w:rsidP="001A6AAB">
      <w:pPr>
        <w:spacing w:line="360" w:lineRule="auto"/>
        <w:jc w:val="center"/>
        <w:rPr>
          <w:rFonts w:cstheme="minorHAnsi"/>
          <w:i/>
          <w:sz w:val="24"/>
          <w:szCs w:val="24"/>
        </w:rPr>
      </w:pPr>
    </w:p>
    <w:p w14:paraId="529644B1" w14:textId="77777777" w:rsidR="001A6AAB" w:rsidRDefault="001A6AAB" w:rsidP="001A6AAB">
      <w:pPr>
        <w:spacing w:line="360" w:lineRule="auto"/>
        <w:jc w:val="center"/>
        <w:rPr>
          <w:rFonts w:cstheme="minorHAnsi"/>
          <w:i/>
          <w:sz w:val="24"/>
          <w:szCs w:val="24"/>
        </w:rPr>
      </w:pPr>
    </w:p>
    <w:p w14:paraId="56ACA548" w14:textId="77777777" w:rsidR="001A6AAB" w:rsidRDefault="001A6AAB" w:rsidP="001A6AAB">
      <w:pPr>
        <w:spacing w:line="360" w:lineRule="auto"/>
        <w:jc w:val="center"/>
        <w:rPr>
          <w:rFonts w:cstheme="minorHAnsi"/>
          <w:i/>
          <w:sz w:val="24"/>
          <w:szCs w:val="24"/>
        </w:rPr>
      </w:pPr>
    </w:p>
    <w:p w14:paraId="143FC1F7" w14:textId="77777777" w:rsidR="001A6AAB" w:rsidRDefault="001A6AAB" w:rsidP="001A6AAB">
      <w:pPr>
        <w:spacing w:line="360" w:lineRule="auto"/>
        <w:jc w:val="center"/>
        <w:rPr>
          <w:rFonts w:cstheme="minorHAnsi"/>
          <w:i/>
          <w:sz w:val="24"/>
          <w:szCs w:val="24"/>
        </w:rPr>
      </w:pPr>
    </w:p>
    <w:p w14:paraId="561E6CCD" w14:textId="77777777" w:rsidR="001A6AAB" w:rsidRDefault="001A6AAB" w:rsidP="001A6AAB">
      <w:pPr>
        <w:spacing w:line="360" w:lineRule="auto"/>
        <w:jc w:val="center"/>
        <w:rPr>
          <w:rFonts w:cstheme="minorHAnsi"/>
          <w:i/>
          <w:sz w:val="24"/>
          <w:szCs w:val="24"/>
        </w:rPr>
      </w:pPr>
    </w:p>
    <w:p w14:paraId="3C1A1942" w14:textId="6D00E357" w:rsidR="001A6AAB" w:rsidRDefault="001A6AAB" w:rsidP="001A6AAB">
      <w:pPr>
        <w:spacing w:line="360" w:lineRule="auto"/>
        <w:jc w:val="center"/>
        <w:rPr>
          <w:rFonts w:cstheme="minorHAnsi"/>
          <w:i/>
          <w:iCs/>
          <w:sz w:val="24"/>
          <w:szCs w:val="24"/>
        </w:rPr>
      </w:pPr>
      <w:bookmarkStart w:id="1" w:name="_GoBack"/>
      <w:bookmarkEnd w:id="1"/>
      <w:r>
        <w:rPr>
          <w:rFonts w:cstheme="minorHAnsi"/>
          <w:i/>
          <w:sz w:val="24"/>
          <w:szCs w:val="24"/>
        </w:rPr>
        <w:t>Artykuł powstał w ramach</w:t>
      </w:r>
      <w:r>
        <w:rPr>
          <w:rFonts w:cstheme="minorHAnsi"/>
          <w:i/>
          <w:iCs/>
          <w:sz w:val="24"/>
          <w:szCs w:val="24"/>
        </w:rPr>
        <w:t xml:space="preserve"> Zadania polegającego na wzmacnianiu zdolności gmin do programowania i wdrażania działań rewitalizacyjnych</w:t>
      </w:r>
      <w:r>
        <w:rPr>
          <w:rFonts w:cstheme="minorHAnsi"/>
          <w:i/>
          <w:sz w:val="24"/>
          <w:szCs w:val="24"/>
        </w:rPr>
        <w:t xml:space="preserve"> realizowanego przez Województwo Podkarpackie w ramach inicjatywy Ministerstwa Funduszy i Polityki Regionalnej pn. </w:t>
      </w:r>
      <w:r>
        <w:rPr>
          <w:rFonts w:cstheme="minorHAnsi"/>
          <w:i/>
          <w:iCs/>
          <w:sz w:val="24"/>
          <w:szCs w:val="24"/>
        </w:rPr>
        <w:t>Regiony Rewitalizacji</w:t>
      </w:r>
      <w:r>
        <w:rPr>
          <w:rFonts w:cstheme="minorHAnsi"/>
          <w:i/>
          <w:sz w:val="24"/>
          <w:szCs w:val="24"/>
        </w:rPr>
        <w:t xml:space="preserve">.  Artykuł sfinansowany </w:t>
      </w:r>
      <w:r>
        <w:rPr>
          <w:rFonts w:cstheme="minorHAnsi"/>
          <w:i/>
          <w:color w:val="000000"/>
          <w:sz w:val="24"/>
          <w:szCs w:val="24"/>
        </w:rPr>
        <w:t>ze środków Funduszu Spójności w ramach Programu Operacyjnego Pomoc Techniczna 2014 – 2020, budżetu państwa i budżetu województwa podkarpackiego</w:t>
      </w:r>
      <w:r>
        <w:rPr>
          <w:rFonts w:cstheme="minorHAnsi"/>
          <w:i/>
          <w:iCs/>
          <w:color w:val="000000"/>
          <w:sz w:val="24"/>
          <w:szCs w:val="24"/>
        </w:rPr>
        <w:t>.</w:t>
      </w:r>
    </w:p>
    <w:p w14:paraId="0B7B1FEE" w14:textId="28D98E4F" w:rsidR="00A04531" w:rsidRDefault="004A3AA5" w:rsidP="00A04531">
      <w:pPr>
        <w:jc w:val="right"/>
        <w:rPr>
          <w:rFonts w:cstheme="minorHAnsi"/>
          <w:color w:val="000000" w:themeColor="text1"/>
        </w:rPr>
      </w:pPr>
      <w:r>
        <w:rPr>
          <w:rFonts w:cstheme="minorHAnsi"/>
          <w:color w:val="000000" w:themeColor="text1"/>
        </w:rPr>
        <w:t xml:space="preserve"> </w:t>
      </w:r>
    </w:p>
    <w:sectPr w:rsidR="00A04531" w:rsidSect="005A2ECE">
      <w:footerReference w:type="default" r:id="rId14"/>
      <w:pgSz w:w="11906" w:h="16838"/>
      <w:pgMar w:top="1135"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3D4E8E" w14:textId="77777777" w:rsidR="003B5E5B" w:rsidRDefault="003B5E5B" w:rsidP="00B96D12">
      <w:pPr>
        <w:spacing w:after="0" w:line="240" w:lineRule="auto"/>
      </w:pPr>
      <w:r>
        <w:separator/>
      </w:r>
    </w:p>
  </w:endnote>
  <w:endnote w:type="continuationSeparator" w:id="0">
    <w:p w14:paraId="0CFE0A46" w14:textId="77777777" w:rsidR="003B5E5B" w:rsidRDefault="003B5E5B" w:rsidP="00B96D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57020526"/>
      <w:docPartObj>
        <w:docPartGallery w:val="Page Numbers (Bottom of Page)"/>
        <w:docPartUnique/>
      </w:docPartObj>
    </w:sdtPr>
    <w:sdtEndPr/>
    <w:sdtContent>
      <w:p w14:paraId="0BD9D4AA" w14:textId="2B19A44E" w:rsidR="006C4780" w:rsidRDefault="006C4780">
        <w:pPr>
          <w:pStyle w:val="Stopka"/>
          <w:jc w:val="center"/>
        </w:pPr>
        <w:r>
          <w:fldChar w:fldCharType="begin"/>
        </w:r>
        <w:r>
          <w:instrText>PAGE   \* MERGEFORMAT</w:instrText>
        </w:r>
        <w:r>
          <w:fldChar w:fldCharType="separate"/>
        </w:r>
        <w:r w:rsidR="004B4D0A">
          <w:rPr>
            <w:noProof/>
          </w:rPr>
          <w:t>1</w:t>
        </w:r>
        <w:r>
          <w:fldChar w:fldCharType="end"/>
        </w:r>
      </w:p>
    </w:sdtContent>
  </w:sdt>
  <w:p w14:paraId="436F6752" w14:textId="77777777" w:rsidR="006C4780" w:rsidRDefault="006C478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5744EC" w14:textId="77777777" w:rsidR="003B5E5B" w:rsidRDefault="003B5E5B" w:rsidP="00B96D12">
      <w:pPr>
        <w:spacing w:after="0" w:line="240" w:lineRule="auto"/>
      </w:pPr>
      <w:r>
        <w:separator/>
      </w:r>
    </w:p>
  </w:footnote>
  <w:footnote w:type="continuationSeparator" w:id="0">
    <w:p w14:paraId="2C64DED1" w14:textId="77777777" w:rsidR="003B5E5B" w:rsidRDefault="003B5E5B" w:rsidP="00B96D12">
      <w:pPr>
        <w:spacing w:after="0" w:line="240" w:lineRule="auto"/>
      </w:pPr>
      <w:r>
        <w:continuationSeparator/>
      </w:r>
    </w:p>
  </w:footnote>
  <w:footnote w:id="1">
    <w:p w14:paraId="1DB5ACFC" w14:textId="77777777" w:rsidR="00F92AA4" w:rsidRDefault="00F92AA4" w:rsidP="00D8723F">
      <w:pPr>
        <w:pStyle w:val="Tekstprzypisudolnego"/>
      </w:pPr>
      <w:r>
        <w:rPr>
          <w:rStyle w:val="Odwoanieprzypisudolnego"/>
        </w:rPr>
        <w:footnoteRef/>
      </w:r>
      <w:r>
        <w:t xml:space="preserve"> </w:t>
      </w:r>
      <w:hyperlink r:id="rId1" w:history="1">
        <w:r w:rsidRPr="00281B5F">
          <w:rPr>
            <w:rStyle w:val="Hipercze"/>
            <w:bCs/>
          </w:rPr>
          <w:t>Ustawa z dnia 9 października 2015 r. o rewitalizacji (</w:t>
        </w:r>
        <w:proofErr w:type="spellStart"/>
        <w:r w:rsidRPr="00281B5F">
          <w:rPr>
            <w:rStyle w:val="Hipercze"/>
            <w:bCs/>
          </w:rPr>
          <w:t>t.j</w:t>
        </w:r>
        <w:proofErr w:type="spellEnd"/>
        <w:r w:rsidRPr="00281B5F">
          <w:rPr>
            <w:rStyle w:val="Hipercze"/>
            <w:bCs/>
          </w:rPr>
          <w:t>. Dz. U. 2021 poz. 485)</w:t>
        </w:r>
      </w:hyperlink>
    </w:p>
  </w:footnote>
  <w:footnote w:id="2">
    <w:p w14:paraId="61A15506" w14:textId="2B2EE35E" w:rsidR="00F92AA4" w:rsidRDefault="00F92AA4">
      <w:pPr>
        <w:pStyle w:val="Tekstprzypisudolnego"/>
      </w:pPr>
      <w:r>
        <w:rPr>
          <w:rStyle w:val="Odwoanieprzypisudolnego"/>
        </w:rPr>
        <w:footnoteRef/>
      </w:r>
      <w:r>
        <w:t xml:space="preserve"> </w:t>
      </w:r>
      <w:r w:rsidRPr="002B4397">
        <w:t>„Delimitacja krok po kroku. Metoda wyznaczenia obszaru zdegradowanego i obszaru rewitalizacji na potrzeby Gminnych Programów Rewitalizacji”</w:t>
      </w:r>
      <w:r>
        <w:t>, IRM/</w:t>
      </w:r>
      <w:proofErr w:type="spellStart"/>
      <w:r>
        <w:t>MIiB</w:t>
      </w:r>
      <w:proofErr w:type="spellEnd"/>
      <w:r>
        <w:t xml:space="preserve">, Warszawa, 2018 r.  </w:t>
      </w:r>
      <w:hyperlink r:id="rId2" w:history="1">
        <w:r w:rsidRPr="00E43DDD">
          <w:rPr>
            <w:rStyle w:val="Hipercze"/>
          </w:rPr>
          <w:t>https://www.gov.pl/attachment/18b42dbd-625e-472f-83ba-11eb5bc4a363</w:t>
        </w:r>
      </w:hyperlink>
      <w:r>
        <w:t xml:space="preserve"> </w:t>
      </w:r>
    </w:p>
  </w:footnote>
  <w:footnote w:id="3">
    <w:p w14:paraId="3AD0F75F" w14:textId="2F769304" w:rsidR="00F92AA4" w:rsidRDefault="00F92AA4">
      <w:pPr>
        <w:pStyle w:val="Tekstprzypisudolnego"/>
      </w:pPr>
      <w:r>
        <w:rPr>
          <w:rStyle w:val="Odwoanieprzypisudolnego"/>
        </w:rPr>
        <w:footnoteRef/>
      </w:r>
      <w:r>
        <w:t xml:space="preserve"> Badanie statystyczne GUS „Rewitalizacja w gminie”, 2018 r.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B92628"/>
    <w:multiLevelType w:val="hybridMultilevel"/>
    <w:tmpl w:val="27F43496"/>
    <w:lvl w:ilvl="0" w:tplc="D34A6C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F1C6493"/>
    <w:multiLevelType w:val="hybridMultilevel"/>
    <w:tmpl w:val="31086D14"/>
    <w:lvl w:ilvl="0" w:tplc="D34A6C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1D25C4F"/>
    <w:multiLevelType w:val="hybridMultilevel"/>
    <w:tmpl w:val="198C88C2"/>
    <w:lvl w:ilvl="0" w:tplc="D34A6C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4B50DA7"/>
    <w:multiLevelType w:val="hybridMultilevel"/>
    <w:tmpl w:val="E44A9AB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AB421BF"/>
    <w:multiLevelType w:val="hybridMultilevel"/>
    <w:tmpl w:val="9B6616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1BF5799"/>
    <w:multiLevelType w:val="hybridMultilevel"/>
    <w:tmpl w:val="929A9E5A"/>
    <w:lvl w:ilvl="0" w:tplc="D34A6C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7D132E4"/>
    <w:multiLevelType w:val="hybridMultilevel"/>
    <w:tmpl w:val="FF3C60C0"/>
    <w:lvl w:ilvl="0" w:tplc="305ED14E">
      <w:start w:val="1"/>
      <w:numFmt w:val="bullet"/>
      <w:lvlText w:val="•"/>
      <w:lvlJc w:val="left"/>
      <w:pPr>
        <w:tabs>
          <w:tab w:val="num" w:pos="720"/>
        </w:tabs>
        <w:ind w:left="720" w:hanging="360"/>
      </w:pPr>
      <w:rPr>
        <w:rFonts w:ascii="Times New Roman" w:hAnsi="Times New Roman" w:hint="default"/>
      </w:rPr>
    </w:lvl>
    <w:lvl w:ilvl="1" w:tplc="4C04C8FC" w:tentative="1">
      <w:start w:val="1"/>
      <w:numFmt w:val="bullet"/>
      <w:lvlText w:val="•"/>
      <w:lvlJc w:val="left"/>
      <w:pPr>
        <w:tabs>
          <w:tab w:val="num" w:pos="1440"/>
        </w:tabs>
        <w:ind w:left="1440" w:hanging="360"/>
      </w:pPr>
      <w:rPr>
        <w:rFonts w:ascii="Times New Roman" w:hAnsi="Times New Roman" w:hint="default"/>
      </w:rPr>
    </w:lvl>
    <w:lvl w:ilvl="2" w:tplc="14AC64D2" w:tentative="1">
      <w:start w:val="1"/>
      <w:numFmt w:val="bullet"/>
      <w:lvlText w:val="•"/>
      <w:lvlJc w:val="left"/>
      <w:pPr>
        <w:tabs>
          <w:tab w:val="num" w:pos="2160"/>
        </w:tabs>
        <w:ind w:left="2160" w:hanging="360"/>
      </w:pPr>
      <w:rPr>
        <w:rFonts w:ascii="Times New Roman" w:hAnsi="Times New Roman" w:hint="default"/>
      </w:rPr>
    </w:lvl>
    <w:lvl w:ilvl="3" w:tplc="39862C60" w:tentative="1">
      <w:start w:val="1"/>
      <w:numFmt w:val="bullet"/>
      <w:lvlText w:val="•"/>
      <w:lvlJc w:val="left"/>
      <w:pPr>
        <w:tabs>
          <w:tab w:val="num" w:pos="2880"/>
        </w:tabs>
        <w:ind w:left="2880" w:hanging="360"/>
      </w:pPr>
      <w:rPr>
        <w:rFonts w:ascii="Times New Roman" w:hAnsi="Times New Roman" w:hint="default"/>
      </w:rPr>
    </w:lvl>
    <w:lvl w:ilvl="4" w:tplc="CF546E62" w:tentative="1">
      <w:start w:val="1"/>
      <w:numFmt w:val="bullet"/>
      <w:lvlText w:val="•"/>
      <w:lvlJc w:val="left"/>
      <w:pPr>
        <w:tabs>
          <w:tab w:val="num" w:pos="3600"/>
        </w:tabs>
        <w:ind w:left="3600" w:hanging="360"/>
      </w:pPr>
      <w:rPr>
        <w:rFonts w:ascii="Times New Roman" w:hAnsi="Times New Roman" w:hint="default"/>
      </w:rPr>
    </w:lvl>
    <w:lvl w:ilvl="5" w:tplc="21AC334C" w:tentative="1">
      <w:start w:val="1"/>
      <w:numFmt w:val="bullet"/>
      <w:lvlText w:val="•"/>
      <w:lvlJc w:val="left"/>
      <w:pPr>
        <w:tabs>
          <w:tab w:val="num" w:pos="4320"/>
        </w:tabs>
        <w:ind w:left="4320" w:hanging="360"/>
      </w:pPr>
      <w:rPr>
        <w:rFonts w:ascii="Times New Roman" w:hAnsi="Times New Roman" w:hint="default"/>
      </w:rPr>
    </w:lvl>
    <w:lvl w:ilvl="6" w:tplc="37C4CD0A" w:tentative="1">
      <w:start w:val="1"/>
      <w:numFmt w:val="bullet"/>
      <w:lvlText w:val="•"/>
      <w:lvlJc w:val="left"/>
      <w:pPr>
        <w:tabs>
          <w:tab w:val="num" w:pos="5040"/>
        </w:tabs>
        <w:ind w:left="5040" w:hanging="360"/>
      </w:pPr>
      <w:rPr>
        <w:rFonts w:ascii="Times New Roman" w:hAnsi="Times New Roman" w:hint="default"/>
      </w:rPr>
    </w:lvl>
    <w:lvl w:ilvl="7" w:tplc="A8462456" w:tentative="1">
      <w:start w:val="1"/>
      <w:numFmt w:val="bullet"/>
      <w:lvlText w:val="•"/>
      <w:lvlJc w:val="left"/>
      <w:pPr>
        <w:tabs>
          <w:tab w:val="num" w:pos="5760"/>
        </w:tabs>
        <w:ind w:left="5760" w:hanging="360"/>
      </w:pPr>
      <w:rPr>
        <w:rFonts w:ascii="Times New Roman" w:hAnsi="Times New Roman" w:hint="default"/>
      </w:rPr>
    </w:lvl>
    <w:lvl w:ilvl="8" w:tplc="4F90B640"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2FBE487A"/>
    <w:multiLevelType w:val="hybridMultilevel"/>
    <w:tmpl w:val="7A16221E"/>
    <w:lvl w:ilvl="0" w:tplc="504CF6B4">
      <w:start w:val="1"/>
      <w:numFmt w:val="bullet"/>
      <w:lvlText w:val=""/>
      <w:lvlJc w:val="left"/>
      <w:pPr>
        <w:tabs>
          <w:tab w:val="num" w:pos="720"/>
        </w:tabs>
        <w:ind w:left="720" w:hanging="360"/>
      </w:pPr>
      <w:rPr>
        <w:rFonts w:ascii="Wingdings" w:hAnsi="Wingdings" w:hint="default"/>
      </w:rPr>
    </w:lvl>
    <w:lvl w:ilvl="1" w:tplc="017C4A42" w:tentative="1">
      <w:start w:val="1"/>
      <w:numFmt w:val="bullet"/>
      <w:lvlText w:val=""/>
      <w:lvlJc w:val="left"/>
      <w:pPr>
        <w:tabs>
          <w:tab w:val="num" w:pos="1440"/>
        </w:tabs>
        <w:ind w:left="1440" w:hanging="360"/>
      </w:pPr>
      <w:rPr>
        <w:rFonts w:ascii="Wingdings" w:hAnsi="Wingdings" w:hint="default"/>
      </w:rPr>
    </w:lvl>
    <w:lvl w:ilvl="2" w:tplc="5B761BFC" w:tentative="1">
      <w:start w:val="1"/>
      <w:numFmt w:val="bullet"/>
      <w:lvlText w:val=""/>
      <w:lvlJc w:val="left"/>
      <w:pPr>
        <w:tabs>
          <w:tab w:val="num" w:pos="2160"/>
        </w:tabs>
        <w:ind w:left="2160" w:hanging="360"/>
      </w:pPr>
      <w:rPr>
        <w:rFonts w:ascii="Wingdings" w:hAnsi="Wingdings" w:hint="default"/>
      </w:rPr>
    </w:lvl>
    <w:lvl w:ilvl="3" w:tplc="EB9C4974" w:tentative="1">
      <w:start w:val="1"/>
      <w:numFmt w:val="bullet"/>
      <w:lvlText w:val=""/>
      <w:lvlJc w:val="left"/>
      <w:pPr>
        <w:tabs>
          <w:tab w:val="num" w:pos="2880"/>
        </w:tabs>
        <w:ind w:left="2880" w:hanging="360"/>
      </w:pPr>
      <w:rPr>
        <w:rFonts w:ascii="Wingdings" w:hAnsi="Wingdings" w:hint="default"/>
      </w:rPr>
    </w:lvl>
    <w:lvl w:ilvl="4" w:tplc="70C6C4BA" w:tentative="1">
      <w:start w:val="1"/>
      <w:numFmt w:val="bullet"/>
      <w:lvlText w:val=""/>
      <w:lvlJc w:val="left"/>
      <w:pPr>
        <w:tabs>
          <w:tab w:val="num" w:pos="3600"/>
        </w:tabs>
        <w:ind w:left="3600" w:hanging="360"/>
      </w:pPr>
      <w:rPr>
        <w:rFonts w:ascii="Wingdings" w:hAnsi="Wingdings" w:hint="default"/>
      </w:rPr>
    </w:lvl>
    <w:lvl w:ilvl="5" w:tplc="8D36F8A0" w:tentative="1">
      <w:start w:val="1"/>
      <w:numFmt w:val="bullet"/>
      <w:lvlText w:val=""/>
      <w:lvlJc w:val="left"/>
      <w:pPr>
        <w:tabs>
          <w:tab w:val="num" w:pos="4320"/>
        </w:tabs>
        <w:ind w:left="4320" w:hanging="360"/>
      </w:pPr>
      <w:rPr>
        <w:rFonts w:ascii="Wingdings" w:hAnsi="Wingdings" w:hint="default"/>
      </w:rPr>
    </w:lvl>
    <w:lvl w:ilvl="6" w:tplc="AD8EC5AA" w:tentative="1">
      <w:start w:val="1"/>
      <w:numFmt w:val="bullet"/>
      <w:lvlText w:val=""/>
      <w:lvlJc w:val="left"/>
      <w:pPr>
        <w:tabs>
          <w:tab w:val="num" w:pos="5040"/>
        </w:tabs>
        <w:ind w:left="5040" w:hanging="360"/>
      </w:pPr>
      <w:rPr>
        <w:rFonts w:ascii="Wingdings" w:hAnsi="Wingdings" w:hint="default"/>
      </w:rPr>
    </w:lvl>
    <w:lvl w:ilvl="7" w:tplc="9D7AFBB4" w:tentative="1">
      <w:start w:val="1"/>
      <w:numFmt w:val="bullet"/>
      <w:lvlText w:val=""/>
      <w:lvlJc w:val="left"/>
      <w:pPr>
        <w:tabs>
          <w:tab w:val="num" w:pos="5760"/>
        </w:tabs>
        <w:ind w:left="5760" w:hanging="360"/>
      </w:pPr>
      <w:rPr>
        <w:rFonts w:ascii="Wingdings" w:hAnsi="Wingdings" w:hint="default"/>
      </w:rPr>
    </w:lvl>
    <w:lvl w:ilvl="8" w:tplc="E0B64CEE"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C9556FD"/>
    <w:multiLevelType w:val="hybridMultilevel"/>
    <w:tmpl w:val="CAF6E4A0"/>
    <w:lvl w:ilvl="0" w:tplc="936C3A0E">
      <w:start w:val="1"/>
      <w:numFmt w:val="bullet"/>
      <w:lvlText w:val="•"/>
      <w:lvlJc w:val="left"/>
      <w:pPr>
        <w:tabs>
          <w:tab w:val="num" w:pos="720"/>
        </w:tabs>
        <w:ind w:left="720" w:hanging="360"/>
      </w:pPr>
      <w:rPr>
        <w:rFonts w:ascii="Times New Roman" w:hAnsi="Times New Roman" w:hint="default"/>
      </w:rPr>
    </w:lvl>
    <w:lvl w:ilvl="1" w:tplc="87B47D18" w:tentative="1">
      <w:start w:val="1"/>
      <w:numFmt w:val="bullet"/>
      <w:lvlText w:val="•"/>
      <w:lvlJc w:val="left"/>
      <w:pPr>
        <w:tabs>
          <w:tab w:val="num" w:pos="1440"/>
        </w:tabs>
        <w:ind w:left="1440" w:hanging="360"/>
      </w:pPr>
      <w:rPr>
        <w:rFonts w:ascii="Times New Roman" w:hAnsi="Times New Roman" w:hint="default"/>
      </w:rPr>
    </w:lvl>
    <w:lvl w:ilvl="2" w:tplc="6484B1BC" w:tentative="1">
      <w:start w:val="1"/>
      <w:numFmt w:val="bullet"/>
      <w:lvlText w:val="•"/>
      <w:lvlJc w:val="left"/>
      <w:pPr>
        <w:tabs>
          <w:tab w:val="num" w:pos="2160"/>
        </w:tabs>
        <w:ind w:left="2160" w:hanging="360"/>
      </w:pPr>
      <w:rPr>
        <w:rFonts w:ascii="Times New Roman" w:hAnsi="Times New Roman" w:hint="default"/>
      </w:rPr>
    </w:lvl>
    <w:lvl w:ilvl="3" w:tplc="1C0C4D76" w:tentative="1">
      <w:start w:val="1"/>
      <w:numFmt w:val="bullet"/>
      <w:lvlText w:val="•"/>
      <w:lvlJc w:val="left"/>
      <w:pPr>
        <w:tabs>
          <w:tab w:val="num" w:pos="2880"/>
        </w:tabs>
        <w:ind w:left="2880" w:hanging="360"/>
      </w:pPr>
      <w:rPr>
        <w:rFonts w:ascii="Times New Roman" w:hAnsi="Times New Roman" w:hint="default"/>
      </w:rPr>
    </w:lvl>
    <w:lvl w:ilvl="4" w:tplc="0DCE1D84" w:tentative="1">
      <w:start w:val="1"/>
      <w:numFmt w:val="bullet"/>
      <w:lvlText w:val="•"/>
      <w:lvlJc w:val="left"/>
      <w:pPr>
        <w:tabs>
          <w:tab w:val="num" w:pos="3600"/>
        </w:tabs>
        <w:ind w:left="3600" w:hanging="360"/>
      </w:pPr>
      <w:rPr>
        <w:rFonts w:ascii="Times New Roman" w:hAnsi="Times New Roman" w:hint="default"/>
      </w:rPr>
    </w:lvl>
    <w:lvl w:ilvl="5" w:tplc="A7EA3606" w:tentative="1">
      <w:start w:val="1"/>
      <w:numFmt w:val="bullet"/>
      <w:lvlText w:val="•"/>
      <w:lvlJc w:val="left"/>
      <w:pPr>
        <w:tabs>
          <w:tab w:val="num" w:pos="4320"/>
        </w:tabs>
        <w:ind w:left="4320" w:hanging="360"/>
      </w:pPr>
      <w:rPr>
        <w:rFonts w:ascii="Times New Roman" w:hAnsi="Times New Roman" w:hint="default"/>
      </w:rPr>
    </w:lvl>
    <w:lvl w:ilvl="6" w:tplc="1454248E" w:tentative="1">
      <w:start w:val="1"/>
      <w:numFmt w:val="bullet"/>
      <w:lvlText w:val="•"/>
      <w:lvlJc w:val="left"/>
      <w:pPr>
        <w:tabs>
          <w:tab w:val="num" w:pos="5040"/>
        </w:tabs>
        <w:ind w:left="5040" w:hanging="360"/>
      </w:pPr>
      <w:rPr>
        <w:rFonts w:ascii="Times New Roman" w:hAnsi="Times New Roman" w:hint="default"/>
      </w:rPr>
    </w:lvl>
    <w:lvl w:ilvl="7" w:tplc="C8B67B4A" w:tentative="1">
      <w:start w:val="1"/>
      <w:numFmt w:val="bullet"/>
      <w:lvlText w:val="•"/>
      <w:lvlJc w:val="left"/>
      <w:pPr>
        <w:tabs>
          <w:tab w:val="num" w:pos="5760"/>
        </w:tabs>
        <w:ind w:left="5760" w:hanging="360"/>
      </w:pPr>
      <w:rPr>
        <w:rFonts w:ascii="Times New Roman" w:hAnsi="Times New Roman" w:hint="default"/>
      </w:rPr>
    </w:lvl>
    <w:lvl w:ilvl="8" w:tplc="2990DEF4"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570408B5"/>
    <w:multiLevelType w:val="hybridMultilevel"/>
    <w:tmpl w:val="62DE5F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5ACC1A1A"/>
    <w:multiLevelType w:val="hybridMultilevel"/>
    <w:tmpl w:val="3E5244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D7E4248"/>
    <w:multiLevelType w:val="hybridMultilevel"/>
    <w:tmpl w:val="1C7069B2"/>
    <w:lvl w:ilvl="0" w:tplc="1F789CC0">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12" w15:restartNumberingAfterBreak="0">
    <w:nsid w:val="6DD5536D"/>
    <w:multiLevelType w:val="hybridMultilevel"/>
    <w:tmpl w:val="7536FA30"/>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7B1E13CD"/>
    <w:multiLevelType w:val="hybridMultilevel"/>
    <w:tmpl w:val="C470B3A2"/>
    <w:lvl w:ilvl="0" w:tplc="1F789CC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6"/>
  </w:num>
  <w:num w:numId="4">
    <w:abstractNumId w:val="0"/>
  </w:num>
  <w:num w:numId="5">
    <w:abstractNumId w:val="7"/>
  </w:num>
  <w:num w:numId="6">
    <w:abstractNumId w:val="5"/>
  </w:num>
  <w:num w:numId="7">
    <w:abstractNumId w:val="2"/>
  </w:num>
  <w:num w:numId="8">
    <w:abstractNumId w:val="11"/>
  </w:num>
  <w:num w:numId="9">
    <w:abstractNumId w:val="13"/>
  </w:num>
  <w:num w:numId="10">
    <w:abstractNumId w:val="12"/>
  </w:num>
  <w:num w:numId="11">
    <w:abstractNumId w:val="1"/>
  </w:num>
  <w:num w:numId="12">
    <w:abstractNumId w:val="4"/>
  </w:num>
  <w:num w:numId="13">
    <w:abstractNumId w:val="9"/>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2E0D"/>
    <w:rsid w:val="00001E3A"/>
    <w:rsid w:val="000051E4"/>
    <w:rsid w:val="0000605F"/>
    <w:rsid w:val="00011940"/>
    <w:rsid w:val="000177F4"/>
    <w:rsid w:val="00024CFD"/>
    <w:rsid w:val="0002579A"/>
    <w:rsid w:val="000331F5"/>
    <w:rsid w:val="00037379"/>
    <w:rsid w:val="00040AEE"/>
    <w:rsid w:val="00042DBD"/>
    <w:rsid w:val="00044AB7"/>
    <w:rsid w:val="0005233B"/>
    <w:rsid w:val="00064E86"/>
    <w:rsid w:val="0006715D"/>
    <w:rsid w:val="00071530"/>
    <w:rsid w:val="000748FC"/>
    <w:rsid w:val="0007734C"/>
    <w:rsid w:val="00083213"/>
    <w:rsid w:val="00087747"/>
    <w:rsid w:val="000A1730"/>
    <w:rsid w:val="000A5F58"/>
    <w:rsid w:val="000A638C"/>
    <w:rsid w:val="000A6B54"/>
    <w:rsid w:val="000B008C"/>
    <w:rsid w:val="000C30AD"/>
    <w:rsid w:val="000C3AFC"/>
    <w:rsid w:val="000C50FF"/>
    <w:rsid w:val="000C6F2A"/>
    <w:rsid w:val="000D05A4"/>
    <w:rsid w:val="000E2AE8"/>
    <w:rsid w:val="000E4FAB"/>
    <w:rsid w:val="000F4CF9"/>
    <w:rsid w:val="000F565E"/>
    <w:rsid w:val="0010684F"/>
    <w:rsid w:val="001069D4"/>
    <w:rsid w:val="00110719"/>
    <w:rsid w:val="00110D15"/>
    <w:rsid w:val="001143DD"/>
    <w:rsid w:val="00120346"/>
    <w:rsid w:val="0012590C"/>
    <w:rsid w:val="00130BFC"/>
    <w:rsid w:val="00132194"/>
    <w:rsid w:val="001334AD"/>
    <w:rsid w:val="0013397D"/>
    <w:rsid w:val="001351E3"/>
    <w:rsid w:val="00136760"/>
    <w:rsid w:val="00137CE1"/>
    <w:rsid w:val="0014267D"/>
    <w:rsid w:val="00143BE4"/>
    <w:rsid w:val="001448E4"/>
    <w:rsid w:val="001511F5"/>
    <w:rsid w:val="00153900"/>
    <w:rsid w:val="0016049F"/>
    <w:rsid w:val="00160AB3"/>
    <w:rsid w:val="00171E8F"/>
    <w:rsid w:val="00172C7E"/>
    <w:rsid w:val="00177898"/>
    <w:rsid w:val="001829E6"/>
    <w:rsid w:val="00183A04"/>
    <w:rsid w:val="0019168B"/>
    <w:rsid w:val="00196E06"/>
    <w:rsid w:val="001A0905"/>
    <w:rsid w:val="001A1E27"/>
    <w:rsid w:val="001A2B72"/>
    <w:rsid w:val="001A6AAB"/>
    <w:rsid w:val="001B64CB"/>
    <w:rsid w:val="001B74C7"/>
    <w:rsid w:val="001D0B53"/>
    <w:rsid w:val="001E11C4"/>
    <w:rsid w:val="001E3791"/>
    <w:rsid w:val="001E7BFB"/>
    <w:rsid w:val="001F019C"/>
    <w:rsid w:val="00205C92"/>
    <w:rsid w:val="00207566"/>
    <w:rsid w:val="00210EE5"/>
    <w:rsid w:val="002133B2"/>
    <w:rsid w:val="00213C15"/>
    <w:rsid w:val="00215A2D"/>
    <w:rsid w:val="0022227F"/>
    <w:rsid w:val="00224D62"/>
    <w:rsid w:val="00231821"/>
    <w:rsid w:val="00231AA5"/>
    <w:rsid w:val="002326C1"/>
    <w:rsid w:val="0023404E"/>
    <w:rsid w:val="00245B25"/>
    <w:rsid w:val="00247837"/>
    <w:rsid w:val="0025251B"/>
    <w:rsid w:val="002718C9"/>
    <w:rsid w:val="002753B1"/>
    <w:rsid w:val="002809B1"/>
    <w:rsid w:val="00281B5F"/>
    <w:rsid w:val="00282E7D"/>
    <w:rsid w:val="00290846"/>
    <w:rsid w:val="00291DF9"/>
    <w:rsid w:val="00292B67"/>
    <w:rsid w:val="002968E3"/>
    <w:rsid w:val="002A1CB5"/>
    <w:rsid w:val="002A66E9"/>
    <w:rsid w:val="002B4397"/>
    <w:rsid w:val="002C1A8C"/>
    <w:rsid w:val="002C68A2"/>
    <w:rsid w:val="002C7F3B"/>
    <w:rsid w:val="002E0199"/>
    <w:rsid w:val="002E0533"/>
    <w:rsid w:val="002E24D2"/>
    <w:rsid w:val="002E25ED"/>
    <w:rsid w:val="002E2A3D"/>
    <w:rsid w:val="002E3518"/>
    <w:rsid w:val="002E7FCD"/>
    <w:rsid w:val="00302DD6"/>
    <w:rsid w:val="003078BC"/>
    <w:rsid w:val="00307C87"/>
    <w:rsid w:val="0031005E"/>
    <w:rsid w:val="00310E91"/>
    <w:rsid w:val="00314376"/>
    <w:rsid w:val="00323AA1"/>
    <w:rsid w:val="003240F9"/>
    <w:rsid w:val="00324FED"/>
    <w:rsid w:val="00325CA3"/>
    <w:rsid w:val="003273FB"/>
    <w:rsid w:val="0033235D"/>
    <w:rsid w:val="003423DA"/>
    <w:rsid w:val="0034308C"/>
    <w:rsid w:val="00345F6B"/>
    <w:rsid w:val="003531F5"/>
    <w:rsid w:val="00365819"/>
    <w:rsid w:val="0036663B"/>
    <w:rsid w:val="003746AE"/>
    <w:rsid w:val="003772A4"/>
    <w:rsid w:val="0038407C"/>
    <w:rsid w:val="00386031"/>
    <w:rsid w:val="00386447"/>
    <w:rsid w:val="003951A7"/>
    <w:rsid w:val="003B0C27"/>
    <w:rsid w:val="003B505F"/>
    <w:rsid w:val="003B5E5B"/>
    <w:rsid w:val="003C3BB7"/>
    <w:rsid w:val="003C7CBC"/>
    <w:rsid w:val="003C7E10"/>
    <w:rsid w:val="003D12C3"/>
    <w:rsid w:val="003D54FC"/>
    <w:rsid w:val="003E3C0E"/>
    <w:rsid w:val="003F5DEF"/>
    <w:rsid w:val="003F7502"/>
    <w:rsid w:val="004063CF"/>
    <w:rsid w:val="00406A22"/>
    <w:rsid w:val="004113BA"/>
    <w:rsid w:val="004123E0"/>
    <w:rsid w:val="00413692"/>
    <w:rsid w:val="004172A9"/>
    <w:rsid w:val="004238B2"/>
    <w:rsid w:val="00425D57"/>
    <w:rsid w:val="0042705F"/>
    <w:rsid w:val="00432BF8"/>
    <w:rsid w:val="004347CC"/>
    <w:rsid w:val="00435FD6"/>
    <w:rsid w:val="0043679E"/>
    <w:rsid w:val="0044016A"/>
    <w:rsid w:val="00441249"/>
    <w:rsid w:val="0044270D"/>
    <w:rsid w:val="00443F5F"/>
    <w:rsid w:val="0046276A"/>
    <w:rsid w:val="004659B1"/>
    <w:rsid w:val="004730A2"/>
    <w:rsid w:val="004838B5"/>
    <w:rsid w:val="00484CAC"/>
    <w:rsid w:val="00484F02"/>
    <w:rsid w:val="004935B3"/>
    <w:rsid w:val="00497CD9"/>
    <w:rsid w:val="004A3751"/>
    <w:rsid w:val="004A3AA5"/>
    <w:rsid w:val="004A5320"/>
    <w:rsid w:val="004A6B97"/>
    <w:rsid w:val="004B3B2C"/>
    <w:rsid w:val="004B4D0A"/>
    <w:rsid w:val="004B5683"/>
    <w:rsid w:val="004B7364"/>
    <w:rsid w:val="004B74F8"/>
    <w:rsid w:val="004C4272"/>
    <w:rsid w:val="004D0669"/>
    <w:rsid w:val="004D1AE9"/>
    <w:rsid w:val="004D1D09"/>
    <w:rsid w:val="004E0FEB"/>
    <w:rsid w:val="004E158A"/>
    <w:rsid w:val="004E3970"/>
    <w:rsid w:val="004E6200"/>
    <w:rsid w:val="004E631B"/>
    <w:rsid w:val="004E7356"/>
    <w:rsid w:val="004F2E8B"/>
    <w:rsid w:val="004F56D0"/>
    <w:rsid w:val="00506289"/>
    <w:rsid w:val="00507266"/>
    <w:rsid w:val="00507A0F"/>
    <w:rsid w:val="005150B3"/>
    <w:rsid w:val="00515FA6"/>
    <w:rsid w:val="005247B9"/>
    <w:rsid w:val="00524807"/>
    <w:rsid w:val="00524855"/>
    <w:rsid w:val="0052655D"/>
    <w:rsid w:val="0053715E"/>
    <w:rsid w:val="0053782C"/>
    <w:rsid w:val="00543A78"/>
    <w:rsid w:val="00544329"/>
    <w:rsid w:val="00547C19"/>
    <w:rsid w:val="00562DC4"/>
    <w:rsid w:val="005662D7"/>
    <w:rsid w:val="0057463F"/>
    <w:rsid w:val="00575CB6"/>
    <w:rsid w:val="00576C02"/>
    <w:rsid w:val="0057774B"/>
    <w:rsid w:val="00580001"/>
    <w:rsid w:val="005831A8"/>
    <w:rsid w:val="00585054"/>
    <w:rsid w:val="00585ECB"/>
    <w:rsid w:val="005941C3"/>
    <w:rsid w:val="00597456"/>
    <w:rsid w:val="005A2420"/>
    <w:rsid w:val="005A2ECE"/>
    <w:rsid w:val="005A49B2"/>
    <w:rsid w:val="005A71F3"/>
    <w:rsid w:val="005B1994"/>
    <w:rsid w:val="005C1D49"/>
    <w:rsid w:val="005C260F"/>
    <w:rsid w:val="005D3B00"/>
    <w:rsid w:val="005E769B"/>
    <w:rsid w:val="005F3E6F"/>
    <w:rsid w:val="00604607"/>
    <w:rsid w:val="006169A7"/>
    <w:rsid w:val="0062332C"/>
    <w:rsid w:val="0062381C"/>
    <w:rsid w:val="00626A44"/>
    <w:rsid w:val="00631E1A"/>
    <w:rsid w:val="006365DD"/>
    <w:rsid w:val="006371B8"/>
    <w:rsid w:val="0063720E"/>
    <w:rsid w:val="00640EDB"/>
    <w:rsid w:val="006456C7"/>
    <w:rsid w:val="0066215E"/>
    <w:rsid w:val="00663C68"/>
    <w:rsid w:val="00667B64"/>
    <w:rsid w:val="006737F4"/>
    <w:rsid w:val="006741BF"/>
    <w:rsid w:val="00683F00"/>
    <w:rsid w:val="006878D4"/>
    <w:rsid w:val="00691309"/>
    <w:rsid w:val="006952C7"/>
    <w:rsid w:val="006961B8"/>
    <w:rsid w:val="006A2978"/>
    <w:rsid w:val="006A57E5"/>
    <w:rsid w:val="006A7EFA"/>
    <w:rsid w:val="006B29B1"/>
    <w:rsid w:val="006B2EFD"/>
    <w:rsid w:val="006B6AE9"/>
    <w:rsid w:val="006B7A80"/>
    <w:rsid w:val="006C0CCC"/>
    <w:rsid w:val="006C4780"/>
    <w:rsid w:val="006C77D0"/>
    <w:rsid w:val="006D4AFD"/>
    <w:rsid w:val="006E3BD6"/>
    <w:rsid w:val="006E3C23"/>
    <w:rsid w:val="006E7AFA"/>
    <w:rsid w:val="006F0454"/>
    <w:rsid w:val="006F30A4"/>
    <w:rsid w:val="006F6564"/>
    <w:rsid w:val="006F7282"/>
    <w:rsid w:val="00713482"/>
    <w:rsid w:val="007155F2"/>
    <w:rsid w:val="00716150"/>
    <w:rsid w:val="00722FB5"/>
    <w:rsid w:val="00723962"/>
    <w:rsid w:val="00725CAF"/>
    <w:rsid w:val="0072702C"/>
    <w:rsid w:val="0073423E"/>
    <w:rsid w:val="00735D8E"/>
    <w:rsid w:val="0074032E"/>
    <w:rsid w:val="007412A1"/>
    <w:rsid w:val="0074226E"/>
    <w:rsid w:val="00742DE9"/>
    <w:rsid w:val="00745803"/>
    <w:rsid w:val="00751A99"/>
    <w:rsid w:val="00756F5D"/>
    <w:rsid w:val="00760C68"/>
    <w:rsid w:val="0076109C"/>
    <w:rsid w:val="00762842"/>
    <w:rsid w:val="007630D5"/>
    <w:rsid w:val="00767CE8"/>
    <w:rsid w:val="00773B81"/>
    <w:rsid w:val="00782E70"/>
    <w:rsid w:val="00790509"/>
    <w:rsid w:val="00794558"/>
    <w:rsid w:val="00796E9D"/>
    <w:rsid w:val="007977E0"/>
    <w:rsid w:val="007B7DE6"/>
    <w:rsid w:val="007C1819"/>
    <w:rsid w:val="007C1E06"/>
    <w:rsid w:val="007C34AC"/>
    <w:rsid w:val="007C6F6C"/>
    <w:rsid w:val="007C7947"/>
    <w:rsid w:val="007D002E"/>
    <w:rsid w:val="007D331B"/>
    <w:rsid w:val="007E2CCA"/>
    <w:rsid w:val="007F1C45"/>
    <w:rsid w:val="007F3520"/>
    <w:rsid w:val="007F774F"/>
    <w:rsid w:val="00803661"/>
    <w:rsid w:val="00812F03"/>
    <w:rsid w:val="00814115"/>
    <w:rsid w:val="00822E0D"/>
    <w:rsid w:val="00823D86"/>
    <w:rsid w:val="00824F24"/>
    <w:rsid w:val="00825F73"/>
    <w:rsid w:val="0082681E"/>
    <w:rsid w:val="00827641"/>
    <w:rsid w:val="00830F5D"/>
    <w:rsid w:val="00832AD8"/>
    <w:rsid w:val="008347D9"/>
    <w:rsid w:val="008349A4"/>
    <w:rsid w:val="00840C74"/>
    <w:rsid w:val="008429E2"/>
    <w:rsid w:val="00844D7C"/>
    <w:rsid w:val="0085303C"/>
    <w:rsid w:val="00853A97"/>
    <w:rsid w:val="0086352D"/>
    <w:rsid w:val="0086496D"/>
    <w:rsid w:val="00872929"/>
    <w:rsid w:val="00884A61"/>
    <w:rsid w:val="008852A1"/>
    <w:rsid w:val="008861B6"/>
    <w:rsid w:val="00892834"/>
    <w:rsid w:val="00893DCC"/>
    <w:rsid w:val="00893DCE"/>
    <w:rsid w:val="008A27A8"/>
    <w:rsid w:val="008A3EBD"/>
    <w:rsid w:val="008A5C2D"/>
    <w:rsid w:val="008B3635"/>
    <w:rsid w:val="008B577B"/>
    <w:rsid w:val="008C4830"/>
    <w:rsid w:val="008C54CC"/>
    <w:rsid w:val="008D2F7E"/>
    <w:rsid w:val="008F19A4"/>
    <w:rsid w:val="008F29E8"/>
    <w:rsid w:val="008F39F2"/>
    <w:rsid w:val="008F3D78"/>
    <w:rsid w:val="009013BB"/>
    <w:rsid w:val="009017A3"/>
    <w:rsid w:val="0091044E"/>
    <w:rsid w:val="00916163"/>
    <w:rsid w:val="00917A75"/>
    <w:rsid w:val="00926E7C"/>
    <w:rsid w:val="009379FB"/>
    <w:rsid w:val="0094180C"/>
    <w:rsid w:val="00944B49"/>
    <w:rsid w:val="0094761E"/>
    <w:rsid w:val="009505EA"/>
    <w:rsid w:val="00952D63"/>
    <w:rsid w:val="009541EF"/>
    <w:rsid w:val="00960C2E"/>
    <w:rsid w:val="00960CE1"/>
    <w:rsid w:val="009658F4"/>
    <w:rsid w:val="00965BC1"/>
    <w:rsid w:val="00971E62"/>
    <w:rsid w:val="00974A35"/>
    <w:rsid w:val="00982EC1"/>
    <w:rsid w:val="00985B69"/>
    <w:rsid w:val="00985FE8"/>
    <w:rsid w:val="00987515"/>
    <w:rsid w:val="009A1303"/>
    <w:rsid w:val="009A532F"/>
    <w:rsid w:val="009B3ECD"/>
    <w:rsid w:val="009B467E"/>
    <w:rsid w:val="009C1978"/>
    <w:rsid w:val="009C2ACC"/>
    <w:rsid w:val="009C3FB1"/>
    <w:rsid w:val="009C4056"/>
    <w:rsid w:val="009C724E"/>
    <w:rsid w:val="009D0DA2"/>
    <w:rsid w:val="009D393F"/>
    <w:rsid w:val="009E050E"/>
    <w:rsid w:val="009E4027"/>
    <w:rsid w:val="009E605A"/>
    <w:rsid w:val="009E7879"/>
    <w:rsid w:val="009E7FE8"/>
    <w:rsid w:val="009F3DB0"/>
    <w:rsid w:val="009F6450"/>
    <w:rsid w:val="00A02010"/>
    <w:rsid w:val="00A02244"/>
    <w:rsid w:val="00A04531"/>
    <w:rsid w:val="00A07FA3"/>
    <w:rsid w:val="00A10C74"/>
    <w:rsid w:val="00A159BA"/>
    <w:rsid w:val="00A2003D"/>
    <w:rsid w:val="00A2105C"/>
    <w:rsid w:val="00A27823"/>
    <w:rsid w:val="00A32DD1"/>
    <w:rsid w:val="00A36CAD"/>
    <w:rsid w:val="00A40FFE"/>
    <w:rsid w:val="00A42620"/>
    <w:rsid w:val="00A44C31"/>
    <w:rsid w:val="00A46EE0"/>
    <w:rsid w:val="00A531F0"/>
    <w:rsid w:val="00A67A7A"/>
    <w:rsid w:val="00A720DA"/>
    <w:rsid w:val="00A73205"/>
    <w:rsid w:val="00A739FA"/>
    <w:rsid w:val="00A76403"/>
    <w:rsid w:val="00A77236"/>
    <w:rsid w:val="00A80C64"/>
    <w:rsid w:val="00A82217"/>
    <w:rsid w:val="00A83117"/>
    <w:rsid w:val="00A86AA0"/>
    <w:rsid w:val="00A8717D"/>
    <w:rsid w:val="00A94568"/>
    <w:rsid w:val="00A94573"/>
    <w:rsid w:val="00A94B3C"/>
    <w:rsid w:val="00AA629F"/>
    <w:rsid w:val="00AB6060"/>
    <w:rsid w:val="00AB7F0F"/>
    <w:rsid w:val="00AC1CC7"/>
    <w:rsid w:val="00AC2B77"/>
    <w:rsid w:val="00AC740E"/>
    <w:rsid w:val="00AD01A6"/>
    <w:rsid w:val="00AD05F1"/>
    <w:rsid w:val="00AD7D7F"/>
    <w:rsid w:val="00AE3CBC"/>
    <w:rsid w:val="00AE67DD"/>
    <w:rsid w:val="00AE6CC9"/>
    <w:rsid w:val="00AF3E0A"/>
    <w:rsid w:val="00AF4CB0"/>
    <w:rsid w:val="00AF502C"/>
    <w:rsid w:val="00B02CD8"/>
    <w:rsid w:val="00B02DAE"/>
    <w:rsid w:val="00B06BDC"/>
    <w:rsid w:val="00B07A8E"/>
    <w:rsid w:val="00B15C88"/>
    <w:rsid w:val="00B15D2A"/>
    <w:rsid w:val="00B20BB5"/>
    <w:rsid w:val="00B20CAB"/>
    <w:rsid w:val="00B2264A"/>
    <w:rsid w:val="00B24638"/>
    <w:rsid w:val="00B24EF0"/>
    <w:rsid w:val="00B27D44"/>
    <w:rsid w:val="00B31FFD"/>
    <w:rsid w:val="00B343E2"/>
    <w:rsid w:val="00B344B8"/>
    <w:rsid w:val="00B37559"/>
    <w:rsid w:val="00B37C98"/>
    <w:rsid w:val="00B442AE"/>
    <w:rsid w:val="00B5798E"/>
    <w:rsid w:val="00B60A31"/>
    <w:rsid w:val="00B67259"/>
    <w:rsid w:val="00B7539D"/>
    <w:rsid w:val="00B75FF2"/>
    <w:rsid w:val="00B7661A"/>
    <w:rsid w:val="00B766AC"/>
    <w:rsid w:val="00B773D3"/>
    <w:rsid w:val="00B83E68"/>
    <w:rsid w:val="00B852ED"/>
    <w:rsid w:val="00B91D46"/>
    <w:rsid w:val="00B96D12"/>
    <w:rsid w:val="00B97736"/>
    <w:rsid w:val="00BA021D"/>
    <w:rsid w:val="00BA4AD5"/>
    <w:rsid w:val="00BA59CB"/>
    <w:rsid w:val="00BA6D58"/>
    <w:rsid w:val="00BB0F76"/>
    <w:rsid w:val="00BB2B5E"/>
    <w:rsid w:val="00BC06B6"/>
    <w:rsid w:val="00BC3E58"/>
    <w:rsid w:val="00BC4AB3"/>
    <w:rsid w:val="00BC693B"/>
    <w:rsid w:val="00BC6DEE"/>
    <w:rsid w:val="00BE430E"/>
    <w:rsid w:val="00BF1440"/>
    <w:rsid w:val="00BF1E3F"/>
    <w:rsid w:val="00BF5D6D"/>
    <w:rsid w:val="00C062A8"/>
    <w:rsid w:val="00C120CE"/>
    <w:rsid w:val="00C151CE"/>
    <w:rsid w:val="00C205E8"/>
    <w:rsid w:val="00C20FBC"/>
    <w:rsid w:val="00C24120"/>
    <w:rsid w:val="00C328AE"/>
    <w:rsid w:val="00C368E2"/>
    <w:rsid w:val="00C44F3F"/>
    <w:rsid w:val="00C543BE"/>
    <w:rsid w:val="00C563BB"/>
    <w:rsid w:val="00C611B8"/>
    <w:rsid w:val="00C62325"/>
    <w:rsid w:val="00C62A9E"/>
    <w:rsid w:val="00C77DCE"/>
    <w:rsid w:val="00C8099D"/>
    <w:rsid w:val="00C80E34"/>
    <w:rsid w:val="00C820C1"/>
    <w:rsid w:val="00C83A8B"/>
    <w:rsid w:val="00C96712"/>
    <w:rsid w:val="00CA2906"/>
    <w:rsid w:val="00CA5107"/>
    <w:rsid w:val="00CB1AE6"/>
    <w:rsid w:val="00CB1AF2"/>
    <w:rsid w:val="00CB3EE3"/>
    <w:rsid w:val="00CB4144"/>
    <w:rsid w:val="00CB63B9"/>
    <w:rsid w:val="00CB6D23"/>
    <w:rsid w:val="00CC10DE"/>
    <w:rsid w:val="00CC4D2C"/>
    <w:rsid w:val="00CD0178"/>
    <w:rsid w:val="00CD3D69"/>
    <w:rsid w:val="00CD48FC"/>
    <w:rsid w:val="00CE553D"/>
    <w:rsid w:val="00CF2529"/>
    <w:rsid w:val="00CF4F83"/>
    <w:rsid w:val="00CF5D69"/>
    <w:rsid w:val="00D07D4C"/>
    <w:rsid w:val="00D111B1"/>
    <w:rsid w:val="00D13C5E"/>
    <w:rsid w:val="00D2216B"/>
    <w:rsid w:val="00D23838"/>
    <w:rsid w:val="00D4116D"/>
    <w:rsid w:val="00D4152D"/>
    <w:rsid w:val="00D47852"/>
    <w:rsid w:val="00D47F27"/>
    <w:rsid w:val="00D52E5E"/>
    <w:rsid w:val="00D52EBF"/>
    <w:rsid w:val="00D557FE"/>
    <w:rsid w:val="00D55B54"/>
    <w:rsid w:val="00D579CD"/>
    <w:rsid w:val="00D57A9C"/>
    <w:rsid w:val="00D66C60"/>
    <w:rsid w:val="00D70665"/>
    <w:rsid w:val="00D771D2"/>
    <w:rsid w:val="00D7750A"/>
    <w:rsid w:val="00D77D88"/>
    <w:rsid w:val="00D813B1"/>
    <w:rsid w:val="00D820A4"/>
    <w:rsid w:val="00D83325"/>
    <w:rsid w:val="00D8723F"/>
    <w:rsid w:val="00D90C2A"/>
    <w:rsid w:val="00DA114B"/>
    <w:rsid w:val="00DA30D9"/>
    <w:rsid w:val="00DA58A7"/>
    <w:rsid w:val="00DB15C5"/>
    <w:rsid w:val="00DC0336"/>
    <w:rsid w:val="00DC7E38"/>
    <w:rsid w:val="00DD4752"/>
    <w:rsid w:val="00DE133F"/>
    <w:rsid w:val="00DE1931"/>
    <w:rsid w:val="00DE3EA5"/>
    <w:rsid w:val="00DF425B"/>
    <w:rsid w:val="00DF4C32"/>
    <w:rsid w:val="00E03FC4"/>
    <w:rsid w:val="00E049F9"/>
    <w:rsid w:val="00E05503"/>
    <w:rsid w:val="00E07932"/>
    <w:rsid w:val="00E12314"/>
    <w:rsid w:val="00E259E1"/>
    <w:rsid w:val="00E26E26"/>
    <w:rsid w:val="00E27B31"/>
    <w:rsid w:val="00E30212"/>
    <w:rsid w:val="00E30276"/>
    <w:rsid w:val="00E3659D"/>
    <w:rsid w:val="00E4284B"/>
    <w:rsid w:val="00E4771A"/>
    <w:rsid w:val="00E51ACC"/>
    <w:rsid w:val="00E51C44"/>
    <w:rsid w:val="00E53854"/>
    <w:rsid w:val="00E56CE7"/>
    <w:rsid w:val="00E57720"/>
    <w:rsid w:val="00E61578"/>
    <w:rsid w:val="00E63778"/>
    <w:rsid w:val="00E66C47"/>
    <w:rsid w:val="00E74B91"/>
    <w:rsid w:val="00E817A5"/>
    <w:rsid w:val="00E82E33"/>
    <w:rsid w:val="00E83832"/>
    <w:rsid w:val="00E842F2"/>
    <w:rsid w:val="00E8567A"/>
    <w:rsid w:val="00E90069"/>
    <w:rsid w:val="00E9093E"/>
    <w:rsid w:val="00E934FD"/>
    <w:rsid w:val="00EA1C94"/>
    <w:rsid w:val="00EA6BAE"/>
    <w:rsid w:val="00EB1330"/>
    <w:rsid w:val="00EB31EF"/>
    <w:rsid w:val="00EB426C"/>
    <w:rsid w:val="00EB4288"/>
    <w:rsid w:val="00ED3B67"/>
    <w:rsid w:val="00ED40AE"/>
    <w:rsid w:val="00ED46DD"/>
    <w:rsid w:val="00ED73CD"/>
    <w:rsid w:val="00EE1098"/>
    <w:rsid w:val="00EF4F9F"/>
    <w:rsid w:val="00EF69FD"/>
    <w:rsid w:val="00EF70E5"/>
    <w:rsid w:val="00F01267"/>
    <w:rsid w:val="00F109BD"/>
    <w:rsid w:val="00F117BD"/>
    <w:rsid w:val="00F151F0"/>
    <w:rsid w:val="00F26648"/>
    <w:rsid w:val="00F30F6E"/>
    <w:rsid w:val="00F31B6A"/>
    <w:rsid w:val="00F31D94"/>
    <w:rsid w:val="00F34C00"/>
    <w:rsid w:val="00F356FD"/>
    <w:rsid w:val="00F37911"/>
    <w:rsid w:val="00F423E2"/>
    <w:rsid w:val="00F4564E"/>
    <w:rsid w:val="00F45678"/>
    <w:rsid w:val="00F5359E"/>
    <w:rsid w:val="00F54E3C"/>
    <w:rsid w:val="00F56016"/>
    <w:rsid w:val="00F65194"/>
    <w:rsid w:val="00F66A35"/>
    <w:rsid w:val="00F81472"/>
    <w:rsid w:val="00F8567E"/>
    <w:rsid w:val="00F91B89"/>
    <w:rsid w:val="00F92AA4"/>
    <w:rsid w:val="00F96157"/>
    <w:rsid w:val="00F9738D"/>
    <w:rsid w:val="00FA2D64"/>
    <w:rsid w:val="00FA3936"/>
    <w:rsid w:val="00FA4A93"/>
    <w:rsid w:val="00FA6DE7"/>
    <w:rsid w:val="00FA7F7B"/>
    <w:rsid w:val="00FB2421"/>
    <w:rsid w:val="00FB409B"/>
    <w:rsid w:val="00FB57DC"/>
    <w:rsid w:val="00FB5EFF"/>
    <w:rsid w:val="00FB6497"/>
    <w:rsid w:val="00FB76E9"/>
    <w:rsid w:val="00FC1068"/>
    <w:rsid w:val="00FC4E12"/>
    <w:rsid w:val="00FC5CA3"/>
    <w:rsid w:val="00FC6D49"/>
    <w:rsid w:val="00FD1359"/>
    <w:rsid w:val="00FE42AB"/>
    <w:rsid w:val="00FE5FD7"/>
    <w:rsid w:val="00FF57D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0ECFC"/>
  <w15:docId w15:val="{EB94562B-925B-454E-9117-FC2C2E7C1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1143D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30BFC"/>
    <w:pPr>
      <w:ind w:left="720"/>
      <w:contextualSpacing/>
    </w:pPr>
  </w:style>
  <w:style w:type="table" w:customStyle="1" w:styleId="Tabelalisty4akcent41">
    <w:name w:val="Tabela listy 4 — akcent 41"/>
    <w:basedOn w:val="Standardowy"/>
    <w:uiPriority w:val="49"/>
    <w:rsid w:val="002E24D2"/>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paragraph" w:styleId="Tekstprzypisudolnego">
    <w:name w:val="footnote text"/>
    <w:basedOn w:val="Normalny"/>
    <w:link w:val="TekstprzypisudolnegoZnak"/>
    <w:uiPriority w:val="99"/>
    <w:unhideWhenUsed/>
    <w:rsid w:val="00B96D12"/>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qFormat/>
    <w:rsid w:val="00B96D12"/>
    <w:rPr>
      <w:sz w:val="20"/>
      <w:szCs w:val="20"/>
    </w:rPr>
  </w:style>
  <w:style w:type="character" w:styleId="Odwoanieprzypisudolnego">
    <w:name w:val="footnote reference"/>
    <w:basedOn w:val="Domylnaczcionkaakapitu"/>
    <w:uiPriority w:val="99"/>
    <w:semiHidden/>
    <w:unhideWhenUsed/>
    <w:rsid w:val="00B96D12"/>
    <w:rPr>
      <w:vertAlign w:val="superscript"/>
    </w:rPr>
  </w:style>
  <w:style w:type="table" w:styleId="Tabela-Siatka">
    <w:name w:val="Table Grid"/>
    <w:basedOn w:val="Standardowy"/>
    <w:uiPriority w:val="39"/>
    <w:rsid w:val="00B27D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
    <w:name w:val="Siatka tabeli — jasna1"/>
    <w:basedOn w:val="Standardowy"/>
    <w:uiPriority w:val="40"/>
    <w:rsid w:val="009B467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Hipercze">
    <w:name w:val="Hyperlink"/>
    <w:basedOn w:val="Domylnaczcionkaakapitu"/>
    <w:uiPriority w:val="99"/>
    <w:unhideWhenUsed/>
    <w:rsid w:val="00952D63"/>
    <w:rPr>
      <w:color w:val="0000FF"/>
      <w:u w:val="single"/>
    </w:rPr>
  </w:style>
  <w:style w:type="character" w:customStyle="1" w:styleId="Nierozpoznanawzmianka1">
    <w:name w:val="Nierozpoznana wzmianka1"/>
    <w:basedOn w:val="Domylnaczcionkaakapitu"/>
    <w:uiPriority w:val="99"/>
    <w:semiHidden/>
    <w:unhideWhenUsed/>
    <w:rsid w:val="00435FD6"/>
    <w:rPr>
      <w:color w:val="605E5C"/>
      <w:shd w:val="clear" w:color="auto" w:fill="E1DFDD"/>
    </w:rPr>
  </w:style>
  <w:style w:type="paragraph" w:styleId="Legenda">
    <w:name w:val="caption"/>
    <w:aliases w:val="Legenda Znak Znak Znak,Legenda Znak Znak,Legenda Znak Znak Znak Znak,Legenda Znak Znak Znak Znak Znak Znak,Legenda Znak Znak Znak Znak Znak Znak Znak,Legenda Znak Znak Znak Znak Znak Znak Znak Znak Znak Z,Legenda Znak Z,Legenda Znak Znak Z Znak"/>
    <w:basedOn w:val="Normalny"/>
    <w:next w:val="Normalny"/>
    <w:uiPriority w:val="35"/>
    <w:unhideWhenUsed/>
    <w:qFormat/>
    <w:rsid w:val="004E631B"/>
    <w:pPr>
      <w:spacing w:after="200" w:line="240" w:lineRule="auto"/>
    </w:pPr>
    <w:rPr>
      <w:i/>
      <w:iCs/>
      <w:color w:val="44546A" w:themeColor="text2"/>
      <w:sz w:val="18"/>
      <w:szCs w:val="18"/>
    </w:rPr>
  </w:style>
  <w:style w:type="paragraph" w:styleId="Tekstprzypisukocowego">
    <w:name w:val="endnote text"/>
    <w:basedOn w:val="Normalny"/>
    <w:link w:val="TekstprzypisukocowegoZnak"/>
    <w:uiPriority w:val="99"/>
    <w:semiHidden/>
    <w:unhideWhenUsed/>
    <w:rsid w:val="00853A9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53A97"/>
    <w:rPr>
      <w:sz w:val="20"/>
      <w:szCs w:val="20"/>
    </w:rPr>
  </w:style>
  <w:style w:type="character" w:styleId="Odwoanieprzypisukocowego">
    <w:name w:val="endnote reference"/>
    <w:basedOn w:val="Domylnaczcionkaakapitu"/>
    <w:uiPriority w:val="99"/>
    <w:semiHidden/>
    <w:unhideWhenUsed/>
    <w:rsid w:val="00853A97"/>
    <w:rPr>
      <w:vertAlign w:val="superscript"/>
    </w:rPr>
  </w:style>
  <w:style w:type="character" w:styleId="Odwoaniedokomentarza">
    <w:name w:val="annotation reference"/>
    <w:basedOn w:val="Domylnaczcionkaakapitu"/>
    <w:uiPriority w:val="99"/>
    <w:semiHidden/>
    <w:unhideWhenUsed/>
    <w:rsid w:val="000C6F2A"/>
    <w:rPr>
      <w:sz w:val="16"/>
      <w:szCs w:val="16"/>
    </w:rPr>
  </w:style>
  <w:style w:type="paragraph" w:styleId="Tekstkomentarza">
    <w:name w:val="annotation text"/>
    <w:basedOn w:val="Normalny"/>
    <w:link w:val="TekstkomentarzaZnak"/>
    <w:uiPriority w:val="99"/>
    <w:semiHidden/>
    <w:unhideWhenUsed/>
    <w:rsid w:val="000C6F2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C6F2A"/>
    <w:rPr>
      <w:sz w:val="20"/>
      <w:szCs w:val="20"/>
    </w:rPr>
  </w:style>
  <w:style w:type="paragraph" w:styleId="Tematkomentarza">
    <w:name w:val="annotation subject"/>
    <w:basedOn w:val="Tekstkomentarza"/>
    <w:next w:val="Tekstkomentarza"/>
    <w:link w:val="TematkomentarzaZnak"/>
    <w:uiPriority w:val="99"/>
    <w:semiHidden/>
    <w:unhideWhenUsed/>
    <w:rsid w:val="000C6F2A"/>
    <w:rPr>
      <w:b/>
      <w:bCs/>
    </w:rPr>
  </w:style>
  <w:style w:type="character" w:customStyle="1" w:styleId="TematkomentarzaZnak">
    <w:name w:val="Temat komentarza Znak"/>
    <w:basedOn w:val="TekstkomentarzaZnak"/>
    <w:link w:val="Tematkomentarza"/>
    <w:uiPriority w:val="99"/>
    <w:semiHidden/>
    <w:rsid w:val="000C6F2A"/>
    <w:rPr>
      <w:b/>
      <w:bCs/>
      <w:sz w:val="20"/>
      <w:szCs w:val="20"/>
    </w:rPr>
  </w:style>
  <w:style w:type="paragraph" w:styleId="Tekstdymka">
    <w:name w:val="Balloon Text"/>
    <w:basedOn w:val="Normalny"/>
    <w:link w:val="TekstdymkaZnak"/>
    <w:uiPriority w:val="99"/>
    <w:semiHidden/>
    <w:unhideWhenUsed/>
    <w:rsid w:val="000C6F2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C6F2A"/>
    <w:rPr>
      <w:rFonts w:ascii="Segoe UI" w:hAnsi="Segoe UI" w:cs="Segoe UI"/>
      <w:sz w:val="18"/>
      <w:szCs w:val="18"/>
    </w:rPr>
  </w:style>
  <w:style w:type="character" w:customStyle="1" w:styleId="Nierozpoznanawzmianka2">
    <w:name w:val="Nierozpoznana wzmianka2"/>
    <w:basedOn w:val="Domylnaczcionkaakapitu"/>
    <w:uiPriority w:val="99"/>
    <w:semiHidden/>
    <w:unhideWhenUsed/>
    <w:rsid w:val="00E30276"/>
    <w:rPr>
      <w:color w:val="605E5C"/>
      <w:shd w:val="clear" w:color="auto" w:fill="E1DFDD"/>
    </w:rPr>
  </w:style>
  <w:style w:type="character" w:styleId="UyteHipercze">
    <w:name w:val="FollowedHyperlink"/>
    <w:basedOn w:val="Domylnaczcionkaakapitu"/>
    <w:uiPriority w:val="99"/>
    <w:semiHidden/>
    <w:unhideWhenUsed/>
    <w:rsid w:val="00D7750A"/>
    <w:rPr>
      <w:color w:val="954F72" w:themeColor="followedHyperlink"/>
      <w:u w:val="single"/>
    </w:rPr>
  </w:style>
  <w:style w:type="character" w:customStyle="1" w:styleId="Mentionnonrsolue1">
    <w:name w:val="Mention non résolue1"/>
    <w:basedOn w:val="Domylnaczcionkaakapitu"/>
    <w:uiPriority w:val="99"/>
    <w:semiHidden/>
    <w:unhideWhenUsed/>
    <w:rsid w:val="00281B5F"/>
    <w:rPr>
      <w:color w:val="605E5C"/>
      <w:shd w:val="clear" w:color="auto" w:fill="E1DFDD"/>
    </w:rPr>
  </w:style>
  <w:style w:type="character" w:styleId="Wyrnienieintensywne">
    <w:name w:val="Intense Emphasis"/>
    <w:uiPriority w:val="21"/>
    <w:qFormat/>
    <w:rsid w:val="001143DD"/>
    <w:rPr>
      <w:i/>
      <w:iCs/>
      <w:color w:val="5B9BD5"/>
    </w:rPr>
  </w:style>
  <w:style w:type="paragraph" w:styleId="Nagwek">
    <w:name w:val="header"/>
    <w:basedOn w:val="Normalny"/>
    <w:link w:val="NagwekZnak"/>
    <w:uiPriority w:val="99"/>
    <w:unhideWhenUsed/>
    <w:rsid w:val="006C478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C4780"/>
  </w:style>
  <w:style w:type="paragraph" w:styleId="Stopka">
    <w:name w:val="footer"/>
    <w:basedOn w:val="Normalny"/>
    <w:link w:val="StopkaZnak"/>
    <w:uiPriority w:val="99"/>
    <w:unhideWhenUsed/>
    <w:rsid w:val="006C478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C47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865418">
      <w:bodyDiv w:val="1"/>
      <w:marLeft w:val="0"/>
      <w:marRight w:val="0"/>
      <w:marTop w:val="0"/>
      <w:marBottom w:val="0"/>
      <w:divBdr>
        <w:top w:val="none" w:sz="0" w:space="0" w:color="auto"/>
        <w:left w:val="none" w:sz="0" w:space="0" w:color="auto"/>
        <w:bottom w:val="none" w:sz="0" w:space="0" w:color="auto"/>
        <w:right w:val="none" w:sz="0" w:space="0" w:color="auto"/>
      </w:divBdr>
    </w:div>
    <w:div w:id="403452205">
      <w:bodyDiv w:val="1"/>
      <w:marLeft w:val="0"/>
      <w:marRight w:val="0"/>
      <w:marTop w:val="0"/>
      <w:marBottom w:val="0"/>
      <w:divBdr>
        <w:top w:val="none" w:sz="0" w:space="0" w:color="auto"/>
        <w:left w:val="none" w:sz="0" w:space="0" w:color="auto"/>
        <w:bottom w:val="none" w:sz="0" w:space="0" w:color="auto"/>
        <w:right w:val="none" w:sz="0" w:space="0" w:color="auto"/>
      </w:divBdr>
    </w:div>
    <w:div w:id="403528695">
      <w:bodyDiv w:val="1"/>
      <w:marLeft w:val="0"/>
      <w:marRight w:val="0"/>
      <w:marTop w:val="0"/>
      <w:marBottom w:val="0"/>
      <w:divBdr>
        <w:top w:val="none" w:sz="0" w:space="0" w:color="auto"/>
        <w:left w:val="none" w:sz="0" w:space="0" w:color="auto"/>
        <w:bottom w:val="none" w:sz="0" w:space="0" w:color="auto"/>
        <w:right w:val="none" w:sz="0" w:space="0" w:color="auto"/>
      </w:divBdr>
      <w:divsChild>
        <w:div w:id="429744896">
          <w:marLeft w:val="547"/>
          <w:marRight w:val="0"/>
          <w:marTop w:val="0"/>
          <w:marBottom w:val="0"/>
          <w:divBdr>
            <w:top w:val="none" w:sz="0" w:space="0" w:color="auto"/>
            <w:left w:val="none" w:sz="0" w:space="0" w:color="auto"/>
            <w:bottom w:val="none" w:sz="0" w:space="0" w:color="auto"/>
            <w:right w:val="none" w:sz="0" w:space="0" w:color="auto"/>
          </w:divBdr>
        </w:div>
      </w:divsChild>
    </w:div>
    <w:div w:id="691342003">
      <w:bodyDiv w:val="1"/>
      <w:marLeft w:val="0"/>
      <w:marRight w:val="0"/>
      <w:marTop w:val="0"/>
      <w:marBottom w:val="0"/>
      <w:divBdr>
        <w:top w:val="none" w:sz="0" w:space="0" w:color="auto"/>
        <w:left w:val="none" w:sz="0" w:space="0" w:color="auto"/>
        <w:bottom w:val="none" w:sz="0" w:space="0" w:color="auto"/>
        <w:right w:val="none" w:sz="0" w:space="0" w:color="auto"/>
      </w:divBdr>
    </w:div>
    <w:div w:id="956907051">
      <w:bodyDiv w:val="1"/>
      <w:marLeft w:val="0"/>
      <w:marRight w:val="0"/>
      <w:marTop w:val="0"/>
      <w:marBottom w:val="0"/>
      <w:divBdr>
        <w:top w:val="none" w:sz="0" w:space="0" w:color="auto"/>
        <w:left w:val="none" w:sz="0" w:space="0" w:color="auto"/>
        <w:bottom w:val="none" w:sz="0" w:space="0" w:color="auto"/>
        <w:right w:val="none" w:sz="0" w:space="0" w:color="auto"/>
      </w:divBdr>
    </w:div>
    <w:div w:id="959996746">
      <w:bodyDiv w:val="1"/>
      <w:marLeft w:val="0"/>
      <w:marRight w:val="0"/>
      <w:marTop w:val="0"/>
      <w:marBottom w:val="0"/>
      <w:divBdr>
        <w:top w:val="none" w:sz="0" w:space="0" w:color="auto"/>
        <w:left w:val="none" w:sz="0" w:space="0" w:color="auto"/>
        <w:bottom w:val="none" w:sz="0" w:space="0" w:color="auto"/>
        <w:right w:val="none" w:sz="0" w:space="0" w:color="auto"/>
      </w:divBdr>
      <w:divsChild>
        <w:div w:id="1462919136">
          <w:marLeft w:val="547"/>
          <w:marRight w:val="0"/>
          <w:marTop w:val="0"/>
          <w:marBottom w:val="0"/>
          <w:divBdr>
            <w:top w:val="none" w:sz="0" w:space="0" w:color="auto"/>
            <w:left w:val="none" w:sz="0" w:space="0" w:color="auto"/>
            <w:bottom w:val="none" w:sz="0" w:space="0" w:color="auto"/>
            <w:right w:val="none" w:sz="0" w:space="0" w:color="auto"/>
          </w:divBdr>
        </w:div>
      </w:divsChild>
    </w:div>
    <w:div w:id="1566837678">
      <w:bodyDiv w:val="1"/>
      <w:marLeft w:val="0"/>
      <w:marRight w:val="0"/>
      <w:marTop w:val="0"/>
      <w:marBottom w:val="0"/>
      <w:divBdr>
        <w:top w:val="none" w:sz="0" w:space="0" w:color="auto"/>
        <w:left w:val="none" w:sz="0" w:space="0" w:color="auto"/>
        <w:bottom w:val="none" w:sz="0" w:space="0" w:color="auto"/>
        <w:right w:val="none" w:sz="0" w:space="0" w:color="auto"/>
      </w:divBdr>
    </w:div>
    <w:div w:id="1797290523">
      <w:bodyDiv w:val="1"/>
      <w:marLeft w:val="0"/>
      <w:marRight w:val="0"/>
      <w:marTop w:val="0"/>
      <w:marBottom w:val="0"/>
      <w:divBdr>
        <w:top w:val="none" w:sz="0" w:space="0" w:color="auto"/>
        <w:left w:val="none" w:sz="0" w:space="0" w:color="auto"/>
        <w:bottom w:val="none" w:sz="0" w:space="0" w:color="auto"/>
        <w:right w:val="none" w:sz="0" w:space="0" w:color="auto"/>
      </w:divBdr>
    </w:div>
    <w:div w:id="1840120474">
      <w:bodyDiv w:val="1"/>
      <w:marLeft w:val="0"/>
      <w:marRight w:val="0"/>
      <w:marTop w:val="0"/>
      <w:marBottom w:val="0"/>
      <w:divBdr>
        <w:top w:val="none" w:sz="0" w:space="0" w:color="auto"/>
        <w:left w:val="none" w:sz="0" w:space="0" w:color="auto"/>
        <w:bottom w:val="none" w:sz="0" w:space="0" w:color="auto"/>
        <w:right w:val="none" w:sz="0" w:space="0" w:color="auto"/>
      </w:divBdr>
    </w:div>
    <w:div w:id="1854303161">
      <w:bodyDiv w:val="1"/>
      <w:marLeft w:val="0"/>
      <w:marRight w:val="0"/>
      <w:marTop w:val="0"/>
      <w:marBottom w:val="0"/>
      <w:divBdr>
        <w:top w:val="none" w:sz="0" w:space="0" w:color="auto"/>
        <w:left w:val="none" w:sz="0" w:space="0" w:color="auto"/>
        <w:bottom w:val="none" w:sz="0" w:space="0" w:color="auto"/>
        <w:right w:val="none" w:sz="0" w:space="0" w:color="auto"/>
      </w:divBdr>
    </w:div>
    <w:div w:id="1991329819">
      <w:bodyDiv w:val="1"/>
      <w:marLeft w:val="0"/>
      <w:marRight w:val="0"/>
      <w:marTop w:val="0"/>
      <w:marBottom w:val="0"/>
      <w:divBdr>
        <w:top w:val="none" w:sz="0" w:space="0" w:color="auto"/>
        <w:left w:val="none" w:sz="0" w:space="0" w:color="auto"/>
        <w:bottom w:val="none" w:sz="0" w:space="0" w:color="auto"/>
        <w:right w:val="none" w:sz="0" w:space="0" w:color="auto"/>
      </w:divBdr>
    </w:div>
    <w:div w:id="2008943963">
      <w:bodyDiv w:val="1"/>
      <w:marLeft w:val="0"/>
      <w:marRight w:val="0"/>
      <w:marTop w:val="0"/>
      <w:marBottom w:val="0"/>
      <w:divBdr>
        <w:top w:val="none" w:sz="0" w:space="0" w:color="auto"/>
        <w:left w:val="none" w:sz="0" w:space="0" w:color="auto"/>
        <w:bottom w:val="none" w:sz="0" w:space="0" w:color="auto"/>
        <w:right w:val="none" w:sz="0" w:space="0" w:color="auto"/>
      </w:divBdr>
    </w:div>
    <w:div w:id="2099590730">
      <w:bodyDiv w:val="1"/>
      <w:marLeft w:val="0"/>
      <w:marRight w:val="0"/>
      <w:marTop w:val="0"/>
      <w:marBottom w:val="0"/>
      <w:divBdr>
        <w:top w:val="none" w:sz="0" w:space="0" w:color="auto"/>
        <w:left w:val="none" w:sz="0" w:space="0" w:color="auto"/>
        <w:bottom w:val="none" w:sz="0" w:space="0" w:color="auto"/>
        <w:right w:val="none" w:sz="0" w:space="0" w:color="auto"/>
      </w:divBdr>
      <w:divsChild>
        <w:div w:id="1846674232">
          <w:marLeft w:val="288"/>
          <w:marRight w:val="0"/>
          <w:marTop w:val="13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orcid.org/0000-0003-1675-240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orcid.org/0000-0003-3360-9886?lang=e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bip.erzeszow.pl/static/img/k02/MKZ/Rewitalizacja/Lokalny_Program_Rewitalizacji_dla_Gminy_Miasto_Rzeszow_do_roku_2023.pdf"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gov.pl/attachment/18b42dbd-625e-472f-83ba-11eb5bc4a363" TargetMode="External"/><Relationship Id="rId1" Type="http://schemas.openxmlformats.org/officeDocument/2006/relationships/hyperlink" Target="https://isap.sejm.gov.pl/isap.nsf/download.xsp/WDU20210000485/O/D20210485.pdf"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909B93-BDA9-4E53-8676-7F3A79C0C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2575</Words>
  <Characters>15456</Characters>
  <Application>Microsoft Office Word</Application>
  <DocSecurity>0</DocSecurity>
  <Lines>128</Lines>
  <Paragraphs>35</Paragraphs>
  <ScaleCrop>false</ScaleCrop>
  <HeadingPairs>
    <vt:vector size="4" baseType="variant">
      <vt:variant>
        <vt:lpstr>Tytuł</vt:lpstr>
      </vt:variant>
      <vt:variant>
        <vt:i4>1</vt:i4>
      </vt:variant>
      <vt:variant>
        <vt:lpstr>Titre</vt:lpstr>
      </vt:variant>
      <vt:variant>
        <vt:i4>1</vt:i4>
      </vt:variant>
    </vt:vector>
  </HeadingPairs>
  <TitlesOfParts>
    <vt:vector size="2" baseType="lpstr">
      <vt:lpstr>Znaczenie delimitacji obszarów zdegradowanych</vt:lpstr>
      <vt:lpstr/>
    </vt:vector>
  </TitlesOfParts>
  <Company/>
  <LinksUpToDate>false</LinksUpToDate>
  <CharactersWithSpaces>17996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Znaczenie delimitacji obszarów zdegradowanych</dc:title>
  <dc:creator>Instytut Rozwoju Miast i Regionów</dc:creator>
  <cp:lastModifiedBy>Katarzyna Stecuła</cp:lastModifiedBy>
  <cp:revision>5</cp:revision>
  <cp:lastPrinted>2020-07-17T11:38:00Z</cp:lastPrinted>
  <dcterms:created xsi:type="dcterms:W3CDTF">2021-07-14T07:49:00Z</dcterms:created>
  <dcterms:modified xsi:type="dcterms:W3CDTF">2021-12-01T08:26:00Z</dcterms:modified>
</cp:coreProperties>
</file>